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BCC7" w14:textId="77777777" w:rsidR="00607D59" w:rsidRDefault="00607D59" w:rsidP="00607D59">
      <w:pPr>
        <w:spacing w:after="0" w:line="240" w:lineRule="auto"/>
        <w:jc w:val="center"/>
        <w:rPr>
          <w:rFonts w:ascii="Times New Roman" w:hAnsi="Times New Roman" w:cs="Times New Roman"/>
          <w:bCs/>
          <w:sz w:val="24"/>
          <w:szCs w:val="24"/>
        </w:rPr>
      </w:pPr>
      <w:r w:rsidRPr="00002F62">
        <w:rPr>
          <w:rFonts w:ascii="Times New Roman" w:hAnsi="Times New Roman" w:cs="Times New Roman"/>
          <w:b/>
          <w:sz w:val="24"/>
          <w:szCs w:val="24"/>
        </w:rPr>
        <w:t>Earnings Management and Underperformance</w:t>
      </w:r>
      <w:r>
        <w:rPr>
          <w:rFonts w:ascii="Times New Roman" w:hAnsi="Times New Roman" w:cs="Times New Roman"/>
          <w:b/>
          <w:sz w:val="24"/>
          <w:szCs w:val="24"/>
        </w:rPr>
        <w:t xml:space="preserve"> after </w:t>
      </w:r>
      <w:r w:rsidRPr="00002F62">
        <w:rPr>
          <w:rFonts w:ascii="Times New Roman" w:hAnsi="Times New Roman" w:cs="Times New Roman"/>
          <w:b/>
          <w:sz w:val="24"/>
          <w:szCs w:val="24"/>
        </w:rPr>
        <w:t>Seasoned Equity Offerings</w:t>
      </w:r>
      <w:r>
        <w:rPr>
          <w:rFonts w:ascii="Times New Roman" w:hAnsi="Times New Roman" w:cs="Times New Roman"/>
          <w:b/>
          <w:sz w:val="24"/>
          <w:szCs w:val="24"/>
        </w:rPr>
        <w:t>: A</w:t>
      </w:r>
      <w:r w:rsidRPr="00CB7245">
        <w:rPr>
          <w:rFonts w:ascii="Times New Roman" w:hAnsi="Times New Roman" w:cs="Times New Roman"/>
          <w:b/>
          <w:sz w:val="24"/>
          <w:szCs w:val="24"/>
        </w:rPr>
        <w:t xml:space="preserve"> </w:t>
      </w:r>
      <w:r>
        <w:rPr>
          <w:rFonts w:ascii="Times New Roman" w:hAnsi="Times New Roman" w:cs="Times New Roman"/>
          <w:b/>
          <w:sz w:val="24"/>
          <w:szCs w:val="24"/>
        </w:rPr>
        <w:t>Cross-Country Study</w:t>
      </w:r>
    </w:p>
    <w:p w14:paraId="43F400A7" w14:textId="78CC1DBD" w:rsidR="008B0EE7" w:rsidRDefault="008B0EE7" w:rsidP="008B0EE7">
      <w:pPr>
        <w:spacing w:after="0" w:line="240" w:lineRule="auto"/>
        <w:jc w:val="center"/>
        <w:rPr>
          <w:rFonts w:ascii="Times New Roman" w:hAnsi="Times New Roman" w:cs="Times New Roman"/>
          <w:bCs/>
          <w:sz w:val="24"/>
          <w:szCs w:val="24"/>
        </w:rPr>
      </w:pPr>
    </w:p>
    <w:p w14:paraId="499DE0E2" w14:textId="77777777" w:rsidR="00701586" w:rsidRPr="00122FA4" w:rsidRDefault="00701586" w:rsidP="008B0EE7">
      <w:pPr>
        <w:spacing w:after="0" w:line="240" w:lineRule="auto"/>
        <w:jc w:val="center"/>
        <w:rPr>
          <w:rFonts w:ascii="Times New Roman" w:hAnsi="Times New Roman" w:cs="Times New Roman"/>
          <w:bCs/>
          <w:sz w:val="24"/>
          <w:szCs w:val="24"/>
        </w:rPr>
      </w:pPr>
    </w:p>
    <w:p w14:paraId="4EC119EF" w14:textId="77777777" w:rsidR="006E1CC4" w:rsidRDefault="008B0EE7" w:rsidP="008B1FFF">
      <w:pPr>
        <w:spacing w:after="0" w:line="240" w:lineRule="auto"/>
        <w:jc w:val="both"/>
        <w:rPr>
          <w:rFonts w:ascii="Times New Roman" w:hAnsi="Times New Roman" w:cs="Times New Roman"/>
          <w:b/>
          <w:sz w:val="24"/>
          <w:szCs w:val="24"/>
        </w:rPr>
      </w:pPr>
      <w:r w:rsidRPr="00DD0EDB">
        <w:rPr>
          <w:rFonts w:ascii="Times New Roman" w:hAnsi="Times New Roman" w:cs="Times New Roman"/>
          <w:b/>
          <w:sz w:val="24"/>
          <w:szCs w:val="24"/>
        </w:rPr>
        <w:t>Abstract</w:t>
      </w:r>
    </w:p>
    <w:p w14:paraId="7784AC36" w14:textId="77777777" w:rsidR="00564EF8" w:rsidRDefault="00C1649F" w:rsidP="008B1FFF">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Purpose</w:t>
      </w:r>
      <w:r w:rsidRPr="00C4057F">
        <w:rPr>
          <w:rFonts w:ascii="Times New Roman" w:hAnsi="Times New Roman" w:cs="Times New Roman"/>
          <w:bCs/>
          <w:sz w:val="24"/>
          <w:szCs w:val="24"/>
        </w:rPr>
        <w:t xml:space="preserve"> –</w:t>
      </w:r>
      <w:r>
        <w:rPr>
          <w:rFonts w:ascii="Times New Roman" w:hAnsi="Times New Roman" w:cs="Times New Roman"/>
          <w:b/>
          <w:sz w:val="24"/>
          <w:szCs w:val="24"/>
        </w:rPr>
        <w:t xml:space="preserve"> </w:t>
      </w:r>
      <w:r w:rsidR="008B0EE7" w:rsidRPr="00DD0EDB">
        <w:rPr>
          <w:rFonts w:ascii="Times New Roman" w:hAnsi="Times New Roman" w:cs="Times New Roman"/>
          <w:sz w:val="24"/>
          <w:szCs w:val="24"/>
        </w:rPr>
        <w:t xml:space="preserve">This study uses cross-country </w:t>
      </w:r>
      <w:r w:rsidR="000449C7">
        <w:rPr>
          <w:rFonts w:ascii="Times New Roman" w:hAnsi="Times New Roman" w:cs="Times New Roman"/>
          <w:sz w:val="24"/>
          <w:szCs w:val="24"/>
        </w:rPr>
        <w:t>data</w:t>
      </w:r>
      <w:r w:rsidR="008B0EE7" w:rsidRPr="00DD0EDB">
        <w:rPr>
          <w:rFonts w:ascii="Times New Roman" w:hAnsi="Times New Roman" w:cs="Times New Roman"/>
          <w:sz w:val="24"/>
          <w:szCs w:val="24"/>
        </w:rPr>
        <w:t xml:space="preserve"> to examine the association between</w:t>
      </w:r>
      <w:r w:rsidR="008B0EE7">
        <w:rPr>
          <w:rFonts w:ascii="Times New Roman" w:hAnsi="Times New Roman" w:cs="Times New Roman"/>
          <w:sz w:val="24"/>
          <w:szCs w:val="24"/>
        </w:rPr>
        <w:t xml:space="preserve"> </w:t>
      </w:r>
      <w:bookmarkStart w:id="0" w:name="_Hlk95588271"/>
      <w:r w:rsidR="008B0EE7" w:rsidRPr="00CD5568">
        <w:rPr>
          <w:rFonts w:ascii="Times New Roman" w:hAnsi="Times New Roman" w:cs="Times New Roman"/>
          <w:sz w:val="24"/>
          <w:szCs w:val="24"/>
        </w:rPr>
        <w:t xml:space="preserve">earnings management (accruals earnings management </w:t>
      </w:r>
      <w:r w:rsidR="00272EC1">
        <w:rPr>
          <w:rFonts w:ascii="Times New Roman" w:hAnsi="Times New Roman" w:cs="Times New Roman"/>
          <w:sz w:val="24"/>
          <w:szCs w:val="24"/>
        </w:rPr>
        <w:t xml:space="preserve">(AEM) </w:t>
      </w:r>
      <w:r w:rsidR="008B0EE7" w:rsidRPr="00CD5568">
        <w:rPr>
          <w:rFonts w:ascii="Times New Roman" w:hAnsi="Times New Roman" w:cs="Times New Roman"/>
          <w:sz w:val="24"/>
          <w:szCs w:val="24"/>
        </w:rPr>
        <w:t>and/or real activities manipulation</w:t>
      </w:r>
      <w:r w:rsidR="00272EC1">
        <w:rPr>
          <w:rFonts w:ascii="Times New Roman" w:hAnsi="Times New Roman" w:cs="Times New Roman"/>
          <w:sz w:val="24"/>
          <w:szCs w:val="24"/>
        </w:rPr>
        <w:t xml:space="preserve"> (RAM)</w:t>
      </w:r>
      <w:r w:rsidR="008B0EE7" w:rsidRPr="00CD5568">
        <w:rPr>
          <w:rFonts w:ascii="Times New Roman" w:hAnsi="Times New Roman" w:cs="Times New Roman"/>
          <w:sz w:val="24"/>
          <w:szCs w:val="24"/>
        </w:rPr>
        <w:t>) and firm underperformance following seasoned equity offerings (SEOs)</w:t>
      </w:r>
      <w:bookmarkEnd w:id="0"/>
      <w:r w:rsidR="008B0EE7" w:rsidRPr="00DD0EDB">
        <w:rPr>
          <w:rFonts w:ascii="Times New Roman" w:hAnsi="Times New Roman" w:cs="Times New Roman"/>
          <w:sz w:val="24"/>
          <w:szCs w:val="24"/>
        </w:rPr>
        <w:t>.</w:t>
      </w:r>
    </w:p>
    <w:p w14:paraId="722EE54F" w14:textId="3C02B6B5" w:rsidR="00171D1F" w:rsidRDefault="00564EF8" w:rsidP="008B1FFF">
      <w:pPr>
        <w:spacing w:before="240" w:after="0" w:line="240" w:lineRule="auto"/>
        <w:jc w:val="both"/>
        <w:rPr>
          <w:rFonts w:ascii="Times New Roman" w:hAnsi="Times New Roman" w:cs="Times New Roman"/>
          <w:sz w:val="24"/>
          <w:szCs w:val="24"/>
        </w:rPr>
      </w:pPr>
      <w:r w:rsidRPr="00C4057F">
        <w:rPr>
          <w:rFonts w:ascii="Times New Roman" w:hAnsi="Times New Roman" w:cs="Times New Roman"/>
          <w:b/>
          <w:bCs/>
          <w:sz w:val="24"/>
          <w:szCs w:val="24"/>
        </w:rPr>
        <w:t>Design</w:t>
      </w:r>
      <w:r w:rsidR="004D7D1C" w:rsidRPr="00C4057F">
        <w:rPr>
          <w:rFonts w:ascii="Times New Roman" w:hAnsi="Times New Roman" w:cs="Times New Roman"/>
          <w:b/>
          <w:bCs/>
          <w:sz w:val="24"/>
          <w:szCs w:val="24"/>
        </w:rPr>
        <w:t>/methodology/approach</w:t>
      </w:r>
      <w:r w:rsidR="004D7D1C">
        <w:rPr>
          <w:rFonts w:ascii="Times New Roman" w:hAnsi="Times New Roman" w:cs="Times New Roman"/>
          <w:sz w:val="24"/>
          <w:szCs w:val="24"/>
        </w:rPr>
        <w:t xml:space="preserve"> </w:t>
      </w:r>
      <w:r w:rsidR="003E5B65">
        <w:rPr>
          <w:rFonts w:ascii="Times New Roman" w:hAnsi="Times New Roman" w:cs="Times New Roman"/>
          <w:sz w:val="24"/>
          <w:szCs w:val="24"/>
        </w:rPr>
        <w:t>–</w:t>
      </w:r>
      <w:r w:rsidR="008B0EE7" w:rsidRPr="00DD0EDB">
        <w:rPr>
          <w:rFonts w:ascii="Times New Roman" w:hAnsi="Times New Roman" w:cs="Times New Roman"/>
          <w:sz w:val="24"/>
          <w:szCs w:val="24"/>
        </w:rPr>
        <w:t xml:space="preserve"> </w:t>
      </w:r>
      <w:r w:rsidR="003E5B65">
        <w:rPr>
          <w:rFonts w:ascii="Times New Roman" w:hAnsi="Times New Roman" w:cs="Times New Roman"/>
          <w:sz w:val="24"/>
          <w:szCs w:val="24"/>
        </w:rPr>
        <w:t xml:space="preserve">The study </w:t>
      </w:r>
      <w:r w:rsidR="005372B7">
        <w:rPr>
          <w:rFonts w:ascii="Times New Roman" w:hAnsi="Times New Roman" w:cs="Times New Roman"/>
          <w:sz w:val="24"/>
          <w:szCs w:val="24"/>
        </w:rPr>
        <w:t xml:space="preserve">applies ordinary </w:t>
      </w:r>
      <w:r w:rsidR="006930A3">
        <w:rPr>
          <w:rFonts w:ascii="Times New Roman" w:hAnsi="Times New Roman" w:cs="Times New Roman"/>
          <w:sz w:val="24"/>
          <w:szCs w:val="24"/>
        </w:rPr>
        <w:t xml:space="preserve">least squares regression analyses to </w:t>
      </w:r>
      <w:r w:rsidR="008B0EE7" w:rsidRPr="007F6D39">
        <w:rPr>
          <w:rFonts w:ascii="Times New Roman" w:hAnsi="Times New Roman" w:cs="Times New Roman"/>
          <w:sz w:val="24"/>
          <w:szCs w:val="24"/>
        </w:rPr>
        <w:t xml:space="preserve">a sample of </w:t>
      </w:r>
      <w:r w:rsidR="00294390">
        <w:rPr>
          <w:rFonts w:ascii="Times New Roman" w:hAnsi="Times New Roman" w:cs="Times New Roman"/>
          <w:sz w:val="24"/>
          <w:szCs w:val="24"/>
        </w:rPr>
        <w:t xml:space="preserve">11,764 observations on </w:t>
      </w:r>
      <w:r w:rsidR="008B0EE7" w:rsidRPr="007F6D39">
        <w:rPr>
          <w:rFonts w:ascii="Times New Roman" w:hAnsi="Times New Roman" w:cs="Times New Roman"/>
          <w:sz w:val="24"/>
          <w:szCs w:val="24"/>
        </w:rPr>
        <w:t>firms from 22 countries</w:t>
      </w:r>
      <w:r w:rsidR="008B0EE7">
        <w:rPr>
          <w:rFonts w:ascii="Times New Roman" w:hAnsi="Times New Roman" w:cs="Times New Roman"/>
          <w:sz w:val="24"/>
          <w:szCs w:val="24"/>
        </w:rPr>
        <w:t xml:space="preserve"> </w:t>
      </w:r>
      <w:r w:rsidR="0060411C">
        <w:rPr>
          <w:rFonts w:ascii="Times New Roman" w:hAnsi="Times New Roman" w:cs="Times New Roman"/>
          <w:sz w:val="24"/>
          <w:szCs w:val="24"/>
        </w:rPr>
        <w:t>over the period</w:t>
      </w:r>
      <w:r w:rsidR="008B0EE7" w:rsidRPr="007F6D39">
        <w:rPr>
          <w:rFonts w:ascii="Times New Roman" w:hAnsi="Times New Roman" w:cs="Times New Roman"/>
          <w:sz w:val="24"/>
          <w:szCs w:val="24"/>
        </w:rPr>
        <w:t xml:space="preserve"> 200</w:t>
      </w:r>
      <w:r w:rsidR="008B0EE7">
        <w:rPr>
          <w:rFonts w:ascii="Times New Roman" w:hAnsi="Times New Roman" w:cs="Times New Roman"/>
          <w:sz w:val="24"/>
          <w:szCs w:val="24"/>
        </w:rPr>
        <w:t>5</w:t>
      </w:r>
      <w:r w:rsidR="008B0EE7" w:rsidRPr="007F6D39">
        <w:rPr>
          <w:rFonts w:ascii="Times New Roman" w:hAnsi="Times New Roman" w:cs="Times New Roman"/>
          <w:sz w:val="24"/>
          <w:szCs w:val="24"/>
        </w:rPr>
        <w:t xml:space="preserve"> to 2017</w:t>
      </w:r>
      <w:r w:rsidR="00171D1F">
        <w:rPr>
          <w:rFonts w:ascii="Times New Roman" w:hAnsi="Times New Roman" w:cs="Times New Roman"/>
          <w:sz w:val="24"/>
          <w:szCs w:val="24"/>
        </w:rPr>
        <w:t xml:space="preserve">. The methods include </w:t>
      </w:r>
      <w:r w:rsidR="007A6FF4">
        <w:rPr>
          <w:rFonts w:ascii="Times New Roman" w:hAnsi="Times New Roman" w:cs="Times New Roman"/>
          <w:sz w:val="24"/>
          <w:szCs w:val="24"/>
        </w:rPr>
        <w:t>weighted least</w:t>
      </w:r>
      <w:r w:rsidR="009D2553">
        <w:rPr>
          <w:rFonts w:ascii="Times New Roman" w:hAnsi="Times New Roman" w:cs="Times New Roman"/>
          <w:sz w:val="24"/>
          <w:szCs w:val="24"/>
        </w:rPr>
        <w:t xml:space="preserve"> squares regression, sub</w:t>
      </w:r>
      <w:r w:rsidR="00E206EB">
        <w:rPr>
          <w:rFonts w:ascii="Times New Roman" w:hAnsi="Times New Roman" w:cs="Times New Roman"/>
          <w:sz w:val="24"/>
          <w:szCs w:val="24"/>
        </w:rPr>
        <w:t xml:space="preserve">-sampling approach, </w:t>
      </w:r>
      <w:r w:rsidR="008B1FFF">
        <w:rPr>
          <w:rFonts w:ascii="Times New Roman" w:hAnsi="Times New Roman" w:cs="Times New Roman"/>
          <w:sz w:val="24"/>
          <w:szCs w:val="24"/>
        </w:rPr>
        <w:t xml:space="preserve">and </w:t>
      </w:r>
      <w:r w:rsidR="00171D1F">
        <w:rPr>
          <w:rFonts w:ascii="Times New Roman" w:hAnsi="Times New Roman" w:cs="Times New Roman"/>
          <w:sz w:val="24"/>
          <w:szCs w:val="24"/>
        </w:rPr>
        <w:t xml:space="preserve">alternative measures of </w:t>
      </w:r>
      <w:r w:rsidR="007B2DE3">
        <w:rPr>
          <w:rFonts w:ascii="Times New Roman" w:hAnsi="Times New Roman" w:cs="Times New Roman"/>
          <w:sz w:val="24"/>
          <w:szCs w:val="24"/>
        </w:rPr>
        <w:t>firm performance, earnings management, and legal regime</w:t>
      </w:r>
      <w:r w:rsidR="00A24C74">
        <w:rPr>
          <w:rFonts w:ascii="Times New Roman" w:hAnsi="Times New Roman" w:cs="Times New Roman"/>
          <w:sz w:val="24"/>
          <w:szCs w:val="24"/>
        </w:rPr>
        <w:t xml:space="preserve"> </w:t>
      </w:r>
      <w:r w:rsidR="007A6FF4">
        <w:rPr>
          <w:rFonts w:ascii="Times New Roman" w:hAnsi="Times New Roman" w:cs="Times New Roman"/>
          <w:sz w:val="24"/>
          <w:szCs w:val="24"/>
        </w:rPr>
        <w:t xml:space="preserve">for robustness tests </w:t>
      </w:r>
      <w:r w:rsidR="00A24C74">
        <w:rPr>
          <w:rFonts w:ascii="Times New Roman" w:hAnsi="Times New Roman" w:cs="Times New Roman"/>
          <w:sz w:val="24"/>
          <w:szCs w:val="24"/>
        </w:rPr>
        <w:t xml:space="preserve">as well as </w:t>
      </w:r>
      <w:r w:rsidR="00C46E58">
        <w:rPr>
          <w:rFonts w:ascii="Times New Roman" w:hAnsi="Times New Roman" w:cs="Times New Roman"/>
          <w:sz w:val="24"/>
          <w:szCs w:val="24"/>
        </w:rPr>
        <w:t xml:space="preserve">a two-stage least squares instrumental variable </w:t>
      </w:r>
      <w:r w:rsidR="007A6FF4">
        <w:rPr>
          <w:rFonts w:ascii="Times New Roman" w:hAnsi="Times New Roman" w:cs="Times New Roman"/>
          <w:sz w:val="24"/>
          <w:szCs w:val="24"/>
        </w:rPr>
        <w:t>(IV) approach to address endogeneity concerns.</w:t>
      </w:r>
    </w:p>
    <w:p w14:paraId="2500D351" w14:textId="1E57893F" w:rsidR="00B64649" w:rsidRDefault="005B191E" w:rsidP="00EB031D">
      <w:pPr>
        <w:spacing w:before="240" w:after="0" w:line="240" w:lineRule="auto"/>
        <w:jc w:val="both"/>
        <w:rPr>
          <w:rFonts w:ascii="Times New Roman" w:hAnsi="Times New Roman" w:cs="Times New Roman"/>
          <w:sz w:val="24"/>
          <w:szCs w:val="24"/>
        </w:rPr>
      </w:pPr>
      <w:r w:rsidRPr="00C4057F">
        <w:rPr>
          <w:rFonts w:ascii="Times New Roman" w:hAnsi="Times New Roman" w:cs="Times New Roman"/>
          <w:b/>
          <w:bCs/>
          <w:sz w:val="24"/>
          <w:szCs w:val="24"/>
        </w:rPr>
        <w:t>Findings</w:t>
      </w:r>
      <w:r>
        <w:rPr>
          <w:rFonts w:ascii="Times New Roman" w:hAnsi="Times New Roman" w:cs="Times New Roman"/>
          <w:sz w:val="24"/>
          <w:szCs w:val="24"/>
        </w:rPr>
        <w:t xml:space="preserve"> </w:t>
      </w:r>
      <w:r w:rsidR="0014207A">
        <w:rPr>
          <w:rFonts w:ascii="Times New Roman" w:hAnsi="Times New Roman" w:cs="Times New Roman"/>
          <w:sz w:val="24"/>
          <w:szCs w:val="24"/>
        </w:rPr>
        <w:t>–</w:t>
      </w:r>
      <w:r>
        <w:rPr>
          <w:rFonts w:ascii="Times New Roman" w:hAnsi="Times New Roman" w:cs="Times New Roman"/>
          <w:sz w:val="24"/>
          <w:szCs w:val="24"/>
        </w:rPr>
        <w:t xml:space="preserve"> </w:t>
      </w:r>
      <w:r w:rsidR="0014207A">
        <w:rPr>
          <w:rFonts w:ascii="Times New Roman" w:hAnsi="Times New Roman" w:cs="Times New Roman"/>
          <w:sz w:val="24"/>
          <w:szCs w:val="24"/>
        </w:rPr>
        <w:t>The results suggest</w:t>
      </w:r>
      <w:r w:rsidR="008B0EE7" w:rsidRPr="007F6D39">
        <w:rPr>
          <w:rFonts w:ascii="Times New Roman" w:hAnsi="Times New Roman" w:cs="Times New Roman"/>
          <w:sz w:val="24"/>
          <w:szCs w:val="24"/>
        </w:rPr>
        <w:t xml:space="preserve"> that</w:t>
      </w:r>
      <w:r w:rsidR="0060411C">
        <w:rPr>
          <w:rFonts w:ascii="Times New Roman" w:hAnsi="Times New Roman" w:cs="Times New Roman"/>
          <w:sz w:val="24"/>
          <w:szCs w:val="24"/>
        </w:rPr>
        <w:t xml:space="preserve"> RAM has a greater negative impact on post-SEO performance than </w:t>
      </w:r>
      <w:r w:rsidR="00E047DB">
        <w:rPr>
          <w:rFonts w:ascii="Times New Roman" w:hAnsi="Times New Roman" w:cs="Times New Roman"/>
          <w:sz w:val="24"/>
          <w:szCs w:val="24"/>
        </w:rPr>
        <w:t>AEM</w:t>
      </w:r>
      <w:r w:rsidR="008B0EE7">
        <w:rPr>
          <w:rFonts w:ascii="Times New Roman" w:hAnsi="Times New Roman" w:cs="Times New Roman"/>
          <w:sz w:val="24"/>
          <w:szCs w:val="24"/>
        </w:rPr>
        <w:t>.</w:t>
      </w:r>
      <w:r w:rsidR="008B0EE7" w:rsidRPr="009414A8">
        <w:rPr>
          <w:rFonts w:ascii="Times New Roman" w:hAnsi="Times New Roman" w:cs="Times New Roman"/>
          <w:sz w:val="24"/>
          <w:szCs w:val="24"/>
        </w:rPr>
        <w:t xml:space="preserve"> </w:t>
      </w:r>
      <w:r w:rsidR="008B0EE7">
        <w:rPr>
          <w:rFonts w:ascii="Times New Roman" w:hAnsi="Times New Roman" w:cs="Times New Roman"/>
          <w:sz w:val="24"/>
          <w:szCs w:val="24"/>
        </w:rPr>
        <w:t xml:space="preserve">The result is economically significant for </w:t>
      </w:r>
      <w:r w:rsidR="00D10C1E">
        <w:rPr>
          <w:rFonts w:ascii="Times New Roman" w:hAnsi="Times New Roman" w:cs="Times New Roman"/>
          <w:sz w:val="24"/>
          <w:szCs w:val="24"/>
        </w:rPr>
        <w:t>RAM</w:t>
      </w:r>
      <w:r w:rsidR="008B0EE7">
        <w:rPr>
          <w:rFonts w:ascii="Times New Roman" w:hAnsi="Times New Roman" w:cs="Times New Roman"/>
          <w:sz w:val="24"/>
          <w:szCs w:val="24"/>
        </w:rPr>
        <w:t xml:space="preserve"> only.</w:t>
      </w:r>
      <w:r w:rsidR="008B0EE7" w:rsidRPr="007F6D39">
        <w:rPr>
          <w:rFonts w:ascii="Times New Roman" w:hAnsi="Times New Roman" w:cs="Times New Roman"/>
          <w:sz w:val="24"/>
          <w:szCs w:val="24"/>
        </w:rPr>
        <w:t xml:space="preserve"> </w:t>
      </w:r>
      <w:r w:rsidR="002E17E8">
        <w:rPr>
          <w:rFonts w:ascii="Times New Roman" w:hAnsi="Times New Roman" w:cs="Times New Roman"/>
          <w:sz w:val="24"/>
          <w:szCs w:val="24"/>
        </w:rPr>
        <w:t>The results a</w:t>
      </w:r>
      <w:r w:rsidR="008B0EE7" w:rsidRPr="007F6D39">
        <w:rPr>
          <w:rFonts w:ascii="Times New Roman" w:hAnsi="Times New Roman" w:cs="Times New Roman"/>
          <w:sz w:val="24"/>
          <w:szCs w:val="24"/>
        </w:rPr>
        <w:t xml:space="preserve">lso </w:t>
      </w:r>
      <w:r w:rsidR="002E17E8">
        <w:rPr>
          <w:rFonts w:ascii="Times New Roman" w:hAnsi="Times New Roman" w:cs="Times New Roman"/>
          <w:sz w:val="24"/>
          <w:szCs w:val="24"/>
        </w:rPr>
        <w:t>reveal</w:t>
      </w:r>
      <w:r w:rsidR="008B0EE7" w:rsidRPr="007F6D39">
        <w:rPr>
          <w:rFonts w:ascii="Times New Roman" w:hAnsi="Times New Roman" w:cs="Times New Roman"/>
          <w:sz w:val="24"/>
          <w:szCs w:val="24"/>
        </w:rPr>
        <w:t xml:space="preserve"> that </w:t>
      </w:r>
      <w:r w:rsidR="00E73260">
        <w:rPr>
          <w:rFonts w:ascii="Times New Roman" w:hAnsi="Times New Roman" w:cs="Times New Roman"/>
          <w:sz w:val="24"/>
          <w:szCs w:val="24"/>
        </w:rPr>
        <w:t>the</w:t>
      </w:r>
      <w:r w:rsidR="00804CDE">
        <w:rPr>
          <w:rFonts w:ascii="Times New Roman" w:hAnsi="Times New Roman" w:cs="Times New Roman"/>
          <w:sz w:val="24"/>
          <w:szCs w:val="24"/>
        </w:rPr>
        <w:t xml:space="preserve"> negative impact of earnings management, in particular RAM, on post-SEO performance is greater in countries with a str</w:t>
      </w:r>
      <w:r w:rsidR="00D540AC">
        <w:rPr>
          <w:rFonts w:ascii="Times New Roman" w:hAnsi="Times New Roman" w:cs="Times New Roman"/>
          <w:sz w:val="24"/>
          <w:szCs w:val="24"/>
        </w:rPr>
        <w:t>ong legal regime than in other countries</w:t>
      </w:r>
      <w:r w:rsidR="00B70B6B">
        <w:rPr>
          <w:rFonts w:ascii="Times New Roman" w:hAnsi="Times New Roman" w:cs="Times New Roman"/>
          <w:sz w:val="24"/>
          <w:szCs w:val="24"/>
        </w:rPr>
        <w:t>.</w:t>
      </w:r>
    </w:p>
    <w:p w14:paraId="042BED75" w14:textId="34303E74" w:rsidR="00AC2B87" w:rsidRDefault="004F49A5" w:rsidP="00EB031D">
      <w:pPr>
        <w:spacing w:before="240" w:after="0" w:line="240" w:lineRule="auto"/>
        <w:jc w:val="both"/>
        <w:rPr>
          <w:rFonts w:ascii="Times New Roman" w:hAnsi="Times New Roman" w:cs="Times New Roman"/>
          <w:sz w:val="24"/>
          <w:szCs w:val="24"/>
        </w:rPr>
      </w:pPr>
      <w:r w:rsidRPr="00C4057F">
        <w:rPr>
          <w:rFonts w:ascii="Times New Roman" w:hAnsi="Times New Roman" w:cs="Times New Roman"/>
          <w:b/>
          <w:bCs/>
          <w:sz w:val="24"/>
          <w:szCs w:val="24"/>
        </w:rPr>
        <w:t>Practical implications</w:t>
      </w:r>
      <w:r>
        <w:rPr>
          <w:rFonts w:ascii="Times New Roman" w:hAnsi="Times New Roman" w:cs="Times New Roman"/>
          <w:sz w:val="24"/>
          <w:szCs w:val="24"/>
        </w:rPr>
        <w:t xml:space="preserve"> </w:t>
      </w:r>
      <w:r w:rsidR="00EB031D">
        <w:rPr>
          <w:rFonts w:ascii="Times New Roman" w:hAnsi="Times New Roman" w:cs="Times New Roman"/>
          <w:sz w:val="24"/>
          <w:szCs w:val="24"/>
        </w:rPr>
        <w:t>–</w:t>
      </w:r>
      <w:r>
        <w:rPr>
          <w:rFonts w:ascii="Times New Roman" w:hAnsi="Times New Roman" w:cs="Times New Roman"/>
          <w:sz w:val="24"/>
          <w:szCs w:val="24"/>
        </w:rPr>
        <w:t xml:space="preserve"> </w:t>
      </w:r>
      <w:r w:rsidR="00EB031D">
        <w:rPr>
          <w:rFonts w:ascii="Times New Roman" w:hAnsi="Times New Roman" w:cs="Times New Roman"/>
          <w:sz w:val="24"/>
          <w:szCs w:val="24"/>
        </w:rPr>
        <w:t>E</w:t>
      </w:r>
      <w:r w:rsidR="00EB031D" w:rsidRPr="00EB031D">
        <w:rPr>
          <w:rFonts w:ascii="Times New Roman" w:hAnsi="Times New Roman" w:cs="Times New Roman"/>
          <w:sz w:val="24"/>
          <w:szCs w:val="24"/>
        </w:rPr>
        <w:t>arning</w:t>
      </w:r>
      <w:r w:rsidR="00EB031D">
        <w:rPr>
          <w:rFonts w:ascii="Times New Roman" w:hAnsi="Times New Roman" w:cs="Times New Roman"/>
          <w:sz w:val="24"/>
          <w:szCs w:val="24"/>
        </w:rPr>
        <w:t>s</w:t>
      </w:r>
      <w:r w:rsidR="00EB031D" w:rsidRPr="00EB031D">
        <w:rPr>
          <w:rFonts w:ascii="Times New Roman" w:hAnsi="Times New Roman" w:cs="Times New Roman"/>
          <w:sz w:val="24"/>
          <w:szCs w:val="24"/>
        </w:rPr>
        <w:t xml:space="preserve"> management around SEO</w:t>
      </w:r>
      <w:r w:rsidR="00EB031D">
        <w:rPr>
          <w:rFonts w:ascii="Times New Roman" w:hAnsi="Times New Roman" w:cs="Times New Roman"/>
          <w:sz w:val="24"/>
          <w:szCs w:val="24"/>
        </w:rPr>
        <w:t>s</w:t>
      </w:r>
      <w:r w:rsidR="00EB031D" w:rsidRPr="00EB031D">
        <w:rPr>
          <w:rFonts w:ascii="Times New Roman" w:hAnsi="Times New Roman" w:cs="Times New Roman"/>
          <w:sz w:val="24"/>
          <w:szCs w:val="24"/>
        </w:rPr>
        <w:t xml:space="preserve"> has important implication</w:t>
      </w:r>
      <w:r w:rsidR="002477DE">
        <w:rPr>
          <w:rFonts w:ascii="Times New Roman" w:hAnsi="Times New Roman" w:cs="Times New Roman"/>
          <w:sz w:val="24"/>
          <w:szCs w:val="24"/>
        </w:rPr>
        <w:t>s</w:t>
      </w:r>
      <w:r w:rsidR="00EB031D" w:rsidRPr="00EB031D">
        <w:rPr>
          <w:rFonts w:ascii="Times New Roman" w:hAnsi="Times New Roman" w:cs="Times New Roman"/>
          <w:sz w:val="24"/>
          <w:szCs w:val="24"/>
        </w:rPr>
        <w:t xml:space="preserve"> </w:t>
      </w:r>
      <w:r w:rsidR="002477DE">
        <w:rPr>
          <w:rFonts w:ascii="Times New Roman" w:hAnsi="Times New Roman" w:cs="Times New Roman"/>
          <w:sz w:val="24"/>
          <w:szCs w:val="24"/>
        </w:rPr>
        <w:t>for</w:t>
      </w:r>
      <w:r w:rsidR="00EB031D" w:rsidRPr="00EB031D">
        <w:rPr>
          <w:rFonts w:ascii="Times New Roman" w:hAnsi="Times New Roman" w:cs="Times New Roman"/>
          <w:sz w:val="24"/>
          <w:szCs w:val="24"/>
        </w:rPr>
        <w:t xml:space="preserve"> </w:t>
      </w:r>
      <w:r w:rsidR="00EB031D">
        <w:rPr>
          <w:rFonts w:ascii="Times New Roman" w:hAnsi="Times New Roman" w:cs="Times New Roman"/>
          <w:sz w:val="24"/>
          <w:szCs w:val="24"/>
        </w:rPr>
        <w:t xml:space="preserve">investors, </w:t>
      </w:r>
      <w:r w:rsidR="00EB031D" w:rsidRPr="00EB031D">
        <w:rPr>
          <w:rFonts w:ascii="Times New Roman" w:hAnsi="Times New Roman" w:cs="Times New Roman"/>
          <w:sz w:val="24"/>
          <w:szCs w:val="24"/>
        </w:rPr>
        <w:t>regulators</w:t>
      </w:r>
      <w:r w:rsidR="00091058">
        <w:rPr>
          <w:rFonts w:ascii="Times New Roman" w:hAnsi="Times New Roman" w:cs="Times New Roman"/>
          <w:sz w:val="24"/>
          <w:szCs w:val="24"/>
        </w:rPr>
        <w:t>,</w:t>
      </w:r>
      <w:r w:rsidR="00EB031D" w:rsidRPr="00EB031D">
        <w:rPr>
          <w:rFonts w:ascii="Times New Roman" w:hAnsi="Times New Roman" w:cs="Times New Roman"/>
          <w:sz w:val="24"/>
          <w:szCs w:val="24"/>
        </w:rPr>
        <w:t xml:space="preserve"> and policymakers. </w:t>
      </w:r>
      <w:r w:rsidR="00EB031D">
        <w:rPr>
          <w:rFonts w:ascii="Times New Roman" w:hAnsi="Times New Roman" w:cs="Times New Roman"/>
          <w:sz w:val="24"/>
          <w:szCs w:val="24"/>
        </w:rPr>
        <w:t>T</w:t>
      </w:r>
      <w:r w:rsidR="00EB031D" w:rsidRPr="00EB031D">
        <w:rPr>
          <w:rFonts w:ascii="Times New Roman" w:hAnsi="Times New Roman" w:cs="Times New Roman"/>
          <w:sz w:val="24"/>
          <w:szCs w:val="24"/>
        </w:rPr>
        <w:t xml:space="preserve">he </w:t>
      </w:r>
      <w:r w:rsidR="00091058">
        <w:rPr>
          <w:rFonts w:ascii="Times New Roman" w:hAnsi="Times New Roman" w:cs="Times New Roman"/>
          <w:sz w:val="24"/>
          <w:szCs w:val="24"/>
        </w:rPr>
        <w:t xml:space="preserve">study suggests that </w:t>
      </w:r>
      <w:r w:rsidR="00EB031D" w:rsidRPr="00EB031D">
        <w:rPr>
          <w:rFonts w:ascii="Times New Roman" w:hAnsi="Times New Roman" w:cs="Times New Roman"/>
          <w:sz w:val="24"/>
          <w:szCs w:val="24"/>
        </w:rPr>
        <w:t>policymaker</w:t>
      </w:r>
      <w:r w:rsidR="002477DE">
        <w:rPr>
          <w:rFonts w:ascii="Times New Roman" w:hAnsi="Times New Roman" w:cs="Times New Roman"/>
          <w:sz w:val="24"/>
          <w:szCs w:val="24"/>
        </w:rPr>
        <w:t>s</w:t>
      </w:r>
      <w:r w:rsidR="00091058">
        <w:rPr>
          <w:rFonts w:ascii="Times New Roman" w:hAnsi="Times New Roman" w:cs="Times New Roman"/>
          <w:sz w:val="24"/>
          <w:szCs w:val="24"/>
        </w:rPr>
        <w:t xml:space="preserve"> should</w:t>
      </w:r>
      <w:r w:rsidR="00EB031D" w:rsidRPr="00EB031D">
        <w:rPr>
          <w:rFonts w:ascii="Times New Roman" w:hAnsi="Times New Roman" w:cs="Times New Roman"/>
          <w:sz w:val="24"/>
          <w:szCs w:val="24"/>
        </w:rPr>
        <w:t xml:space="preserve"> improve the current legal condition</w:t>
      </w:r>
      <w:r w:rsidR="00E71A7C">
        <w:rPr>
          <w:rFonts w:ascii="Times New Roman" w:hAnsi="Times New Roman" w:cs="Times New Roman"/>
          <w:sz w:val="24"/>
          <w:szCs w:val="24"/>
        </w:rPr>
        <w:t>s</w:t>
      </w:r>
      <w:r w:rsidR="00EB031D" w:rsidRPr="00EB031D">
        <w:rPr>
          <w:rFonts w:ascii="Times New Roman" w:hAnsi="Times New Roman" w:cs="Times New Roman"/>
          <w:sz w:val="24"/>
          <w:szCs w:val="24"/>
        </w:rPr>
        <w:t xml:space="preserve"> to promote fair</w:t>
      </w:r>
      <w:r w:rsidR="0047208A">
        <w:rPr>
          <w:rFonts w:ascii="Times New Roman" w:hAnsi="Times New Roman" w:cs="Times New Roman"/>
          <w:sz w:val="24"/>
          <w:szCs w:val="24"/>
        </w:rPr>
        <w:t>ness in</w:t>
      </w:r>
      <w:r w:rsidR="00216109">
        <w:rPr>
          <w:rFonts w:ascii="Times New Roman" w:hAnsi="Times New Roman" w:cs="Times New Roman"/>
          <w:sz w:val="24"/>
          <w:szCs w:val="24"/>
        </w:rPr>
        <w:t xml:space="preserve"> the equity market</w:t>
      </w:r>
      <w:r w:rsidR="00EB031D" w:rsidRPr="00EB031D">
        <w:rPr>
          <w:rFonts w:ascii="Times New Roman" w:hAnsi="Times New Roman" w:cs="Times New Roman"/>
          <w:sz w:val="24"/>
          <w:szCs w:val="24"/>
        </w:rPr>
        <w:t>.</w:t>
      </w:r>
    </w:p>
    <w:p w14:paraId="02C9D7AC" w14:textId="147C867D" w:rsidR="008B0EE7" w:rsidRPr="007F6D39" w:rsidRDefault="00B64649" w:rsidP="00B64649">
      <w:pPr>
        <w:spacing w:before="240" w:after="0" w:line="240" w:lineRule="auto"/>
        <w:jc w:val="both"/>
        <w:rPr>
          <w:rFonts w:ascii="Times New Roman" w:hAnsi="Times New Roman" w:cs="Times New Roman"/>
          <w:sz w:val="24"/>
          <w:szCs w:val="24"/>
        </w:rPr>
      </w:pPr>
      <w:r w:rsidRPr="00C4057F">
        <w:rPr>
          <w:rFonts w:ascii="Times New Roman" w:hAnsi="Times New Roman" w:cs="Times New Roman"/>
          <w:b/>
          <w:bCs/>
          <w:sz w:val="24"/>
          <w:szCs w:val="24"/>
        </w:rPr>
        <w:t>Originali</w:t>
      </w:r>
      <w:r w:rsidR="00F870DE" w:rsidRPr="00C4057F">
        <w:rPr>
          <w:rFonts w:ascii="Times New Roman" w:hAnsi="Times New Roman" w:cs="Times New Roman"/>
          <w:b/>
          <w:bCs/>
          <w:sz w:val="24"/>
          <w:szCs w:val="24"/>
        </w:rPr>
        <w:t>ty/value</w:t>
      </w:r>
      <w:r w:rsidR="00216109">
        <w:rPr>
          <w:rFonts w:ascii="Times New Roman" w:hAnsi="Times New Roman" w:cs="Times New Roman"/>
          <w:sz w:val="24"/>
          <w:szCs w:val="24"/>
        </w:rPr>
        <w:t xml:space="preserve"> </w:t>
      </w:r>
      <w:r w:rsidR="00C4057F">
        <w:rPr>
          <w:rFonts w:ascii="Times New Roman" w:hAnsi="Times New Roman" w:cs="Times New Roman"/>
          <w:sz w:val="24"/>
          <w:szCs w:val="24"/>
        </w:rPr>
        <w:t>–</w:t>
      </w:r>
      <w:r w:rsidR="00216109">
        <w:rPr>
          <w:rFonts w:ascii="Times New Roman" w:hAnsi="Times New Roman" w:cs="Times New Roman"/>
          <w:sz w:val="24"/>
          <w:szCs w:val="24"/>
        </w:rPr>
        <w:t xml:space="preserve"> The</w:t>
      </w:r>
      <w:r w:rsidR="008B0EE7">
        <w:rPr>
          <w:rFonts w:ascii="Times New Roman" w:hAnsi="Times New Roman" w:cs="Times New Roman"/>
          <w:sz w:val="24"/>
          <w:szCs w:val="24"/>
        </w:rPr>
        <w:t xml:space="preserve"> results </w:t>
      </w:r>
      <w:r w:rsidR="00A2053E">
        <w:rPr>
          <w:rFonts w:ascii="Times New Roman" w:hAnsi="Times New Roman" w:cs="Times New Roman"/>
          <w:sz w:val="24"/>
          <w:szCs w:val="24"/>
        </w:rPr>
        <w:t xml:space="preserve">from the cross-country </w:t>
      </w:r>
      <w:r w:rsidR="00FB4C9A">
        <w:rPr>
          <w:rFonts w:ascii="Times New Roman" w:hAnsi="Times New Roman" w:cs="Times New Roman"/>
          <w:sz w:val="24"/>
          <w:szCs w:val="24"/>
        </w:rPr>
        <w:t xml:space="preserve">data </w:t>
      </w:r>
      <w:r w:rsidR="008F18C4">
        <w:rPr>
          <w:rFonts w:ascii="Times New Roman" w:hAnsi="Times New Roman" w:cs="Times New Roman"/>
          <w:sz w:val="24"/>
          <w:szCs w:val="24"/>
        </w:rPr>
        <w:t>support earlier results from single</w:t>
      </w:r>
      <w:r w:rsidR="00F10536">
        <w:rPr>
          <w:rFonts w:ascii="Times New Roman" w:hAnsi="Times New Roman" w:cs="Times New Roman"/>
          <w:sz w:val="24"/>
          <w:szCs w:val="24"/>
        </w:rPr>
        <w:t>-</w:t>
      </w:r>
      <w:r w:rsidR="008F18C4">
        <w:rPr>
          <w:rFonts w:ascii="Times New Roman" w:hAnsi="Times New Roman" w:cs="Times New Roman"/>
          <w:sz w:val="24"/>
          <w:szCs w:val="24"/>
        </w:rPr>
        <w:t>country studies on the impact of earnings management on post-SEO performance</w:t>
      </w:r>
      <w:r w:rsidR="00127516">
        <w:rPr>
          <w:rFonts w:ascii="Times New Roman" w:hAnsi="Times New Roman" w:cs="Times New Roman"/>
          <w:sz w:val="24"/>
          <w:szCs w:val="24"/>
        </w:rPr>
        <w:t>. The study also</w:t>
      </w:r>
      <w:r w:rsidR="008F18C4">
        <w:rPr>
          <w:rFonts w:ascii="Times New Roman" w:hAnsi="Times New Roman" w:cs="Times New Roman"/>
          <w:sz w:val="24"/>
          <w:szCs w:val="24"/>
        </w:rPr>
        <w:t xml:space="preserve"> provide</w:t>
      </w:r>
      <w:r w:rsidR="00C4057F">
        <w:rPr>
          <w:rFonts w:ascii="Times New Roman" w:hAnsi="Times New Roman" w:cs="Times New Roman"/>
          <w:sz w:val="24"/>
          <w:szCs w:val="24"/>
        </w:rPr>
        <w:t>s</w:t>
      </w:r>
      <w:r w:rsidR="008F18C4">
        <w:rPr>
          <w:rFonts w:ascii="Times New Roman" w:hAnsi="Times New Roman" w:cs="Times New Roman"/>
          <w:sz w:val="24"/>
          <w:szCs w:val="24"/>
        </w:rPr>
        <w:t xml:space="preserve"> new evidence on the variation in the impact of earnings management according to the strength of the legal regime operating in a country</w:t>
      </w:r>
      <w:r w:rsidR="008B0EE7">
        <w:rPr>
          <w:rFonts w:ascii="Times New Roman" w:hAnsi="Times New Roman" w:cs="Times New Roman"/>
          <w:sz w:val="24"/>
          <w:szCs w:val="24"/>
        </w:rPr>
        <w:t>.</w:t>
      </w:r>
    </w:p>
    <w:p w14:paraId="1463932A" w14:textId="77777777" w:rsidR="008B0EE7" w:rsidRPr="00D76D63" w:rsidRDefault="008B0EE7" w:rsidP="008B0EE7">
      <w:pPr>
        <w:spacing w:after="0" w:line="240" w:lineRule="auto"/>
        <w:jc w:val="both"/>
        <w:rPr>
          <w:rFonts w:ascii="Times New Roman" w:hAnsi="Times New Roman" w:cs="Times New Roman"/>
          <w:b/>
          <w:sz w:val="24"/>
          <w:szCs w:val="24"/>
        </w:rPr>
      </w:pPr>
    </w:p>
    <w:p w14:paraId="4B117625" w14:textId="77777777" w:rsidR="008B0EE7" w:rsidRDefault="008B0EE7" w:rsidP="008B0EE7">
      <w:pPr>
        <w:spacing w:after="0" w:line="240" w:lineRule="auto"/>
        <w:jc w:val="both"/>
        <w:rPr>
          <w:rFonts w:ascii="Times New Roman" w:hAnsi="Times New Roman" w:cs="Times New Roman"/>
          <w:sz w:val="24"/>
          <w:szCs w:val="24"/>
        </w:rPr>
      </w:pPr>
      <w:r w:rsidRPr="005A0294">
        <w:rPr>
          <w:rFonts w:ascii="Times New Roman" w:hAnsi="Times New Roman" w:cs="Times New Roman"/>
          <w:i/>
          <w:sz w:val="24"/>
          <w:szCs w:val="24"/>
        </w:rPr>
        <w:t>Keywords</w:t>
      </w:r>
      <w:r>
        <w:rPr>
          <w:rFonts w:ascii="Times New Roman" w:hAnsi="Times New Roman" w:cs="Times New Roman"/>
          <w:sz w:val="24"/>
          <w:szCs w:val="24"/>
        </w:rPr>
        <w:t>: Accruals earnings management; earnings management; legal regime; post-SEO performance; real activities manipulation</w:t>
      </w:r>
    </w:p>
    <w:p w14:paraId="77EE49A5" w14:textId="77777777" w:rsidR="008B0EE7" w:rsidRDefault="008B0EE7" w:rsidP="008B0EE7">
      <w:pPr>
        <w:spacing w:after="0" w:line="240" w:lineRule="auto"/>
        <w:jc w:val="both"/>
        <w:rPr>
          <w:rFonts w:ascii="Times New Roman" w:hAnsi="Times New Roman" w:cs="Times New Roman"/>
          <w:i/>
          <w:iCs/>
          <w:sz w:val="24"/>
          <w:szCs w:val="24"/>
        </w:rPr>
      </w:pPr>
    </w:p>
    <w:p w14:paraId="0B8C47D7" w14:textId="77777777" w:rsidR="008B0EE7" w:rsidRPr="00A04C50" w:rsidRDefault="008B0EE7" w:rsidP="008B0EE7">
      <w:pPr>
        <w:spacing w:after="0" w:line="240" w:lineRule="auto"/>
        <w:jc w:val="both"/>
        <w:rPr>
          <w:rFonts w:ascii="Times New Roman" w:hAnsi="Times New Roman" w:cs="Times New Roman"/>
          <w:i/>
          <w:iCs/>
          <w:sz w:val="24"/>
          <w:szCs w:val="24"/>
        </w:rPr>
      </w:pPr>
      <w:r w:rsidRPr="00A04C50">
        <w:rPr>
          <w:rFonts w:ascii="Times New Roman" w:hAnsi="Times New Roman" w:cs="Times New Roman"/>
          <w:i/>
          <w:iCs/>
          <w:sz w:val="24"/>
          <w:szCs w:val="24"/>
        </w:rPr>
        <w:t>JEL Classification</w:t>
      </w:r>
      <w:r>
        <w:rPr>
          <w:rFonts w:ascii="Times New Roman" w:hAnsi="Times New Roman" w:cs="Times New Roman"/>
          <w:i/>
          <w:iCs/>
          <w:sz w:val="24"/>
          <w:szCs w:val="24"/>
        </w:rPr>
        <w:t xml:space="preserve"> Codes</w:t>
      </w:r>
      <w:r w:rsidRPr="00A04C50">
        <w:rPr>
          <w:rFonts w:ascii="Times New Roman" w:hAnsi="Times New Roman" w:cs="Times New Roman"/>
          <w:i/>
          <w:iCs/>
          <w:sz w:val="24"/>
          <w:szCs w:val="24"/>
        </w:rPr>
        <w:t>:</w:t>
      </w:r>
      <w:r>
        <w:rPr>
          <w:rFonts w:ascii="Times New Roman" w:hAnsi="Times New Roman" w:cs="Times New Roman"/>
          <w:i/>
          <w:iCs/>
          <w:sz w:val="24"/>
          <w:szCs w:val="24"/>
        </w:rPr>
        <w:t xml:space="preserve"> </w:t>
      </w:r>
      <w:r w:rsidRPr="0025492E">
        <w:rPr>
          <w:rFonts w:ascii="Times New Roman" w:hAnsi="Times New Roman" w:cs="Times New Roman"/>
          <w:sz w:val="24"/>
          <w:szCs w:val="24"/>
        </w:rPr>
        <w:t>G30; K42; M40</w:t>
      </w:r>
    </w:p>
    <w:p w14:paraId="1FACB130" w14:textId="77777777" w:rsidR="008B0EE7" w:rsidRDefault="008B0EE7" w:rsidP="008B0EE7">
      <w:pPr>
        <w:spacing w:after="0" w:line="240" w:lineRule="auto"/>
        <w:jc w:val="both"/>
        <w:rPr>
          <w:rFonts w:ascii="Times New Roman" w:hAnsi="Times New Roman" w:cs="Times New Roman"/>
          <w:sz w:val="24"/>
          <w:szCs w:val="24"/>
        </w:rPr>
      </w:pPr>
    </w:p>
    <w:p w14:paraId="3F164D1D" w14:textId="77777777" w:rsidR="008B0EE7" w:rsidRPr="00435F60" w:rsidRDefault="008B0EE7" w:rsidP="008B0EE7">
      <w:pPr>
        <w:spacing w:before="120" w:after="0" w:line="480" w:lineRule="auto"/>
        <w:jc w:val="both"/>
        <w:rPr>
          <w:rFonts w:ascii="Times New Roman" w:hAnsi="Times New Roman" w:cs="Times New Roman"/>
          <w:b/>
          <w:sz w:val="24"/>
          <w:szCs w:val="24"/>
        </w:rPr>
      </w:pPr>
      <w:r w:rsidRPr="00435F60">
        <w:rPr>
          <w:rFonts w:ascii="Times New Roman" w:hAnsi="Times New Roman" w:cs="Times New Roman"/>
          <w:b/>
          <w:sz w:val="24"/>
          <w:szCs w:val="24"/>
        </w:rPr>
        <w:t>1. Introduction</w:t>
      </w:r>
    </w:p>
    <w:p w14:paraId="559920BC" w14:textId="458646D8" w:rsidR="008B0EE7" w:rsidRDefault="008B0EE7" w:rsidP="008B0EE7">
      <w:pPr>
        <w:spacing w:after="0" w:line="480" w:lineRule="auto"/>
        <w:jc w:val="both"/>
        <w:rPr>
          <w:rFonts w:ascii="Times New Roman" w:hAnsi="Times New Roman" w:cs="Times New Roman"/>
          <w:sz w:val="24"/>
          <w:szCs w:val="24"/>
        </w:rPr>
      </w:pPr>
      <w:r w:rsidRPr="00CD5568">
        <w:rPr>
          <w:rFonts w:ascii="Times New Roman" w:hAnsi="Times New Roman" w:cs="Times New Roman"/>
          <w:sz w:val="24"/>
          <w:szCs w:val="24"/>
        </w:rPr>
        <w:t xml:space="preserve">This study uses cross-country </w:t>
      </w:r>
      <w:r w:rsidR="00243801">
        <w:rPr>
          <w:rFonts w:ascii="Times New Roman" w:hAnsi="Times New Roman" w:cs="Times New Roman"/>
          <w:sz w:val="24"/>
          <w:szCs w:val="24"/>
        </w:rPr>
        <w:t>data</w:t>
      </w:r>
      <w:r w:rsidRPr="00CD5568">
        <w:rPr>
          <w:rFonts w:ascii="Times New Roman" w:hAnsi="Times New Roman" w:cs="Times New Roman"/>
          <w:sz w:val="24"/>
          <w:szCs w:val="24"/>
        </w:rPr>
        <w:t xml:space="preserve"> to examine the association between earnings management (accruals earnings management </w:t>
      </w:r>
      <w:r w:rsidR="00243801">
        <w:rPr>
          <w:rFonts w:ascii="Times New Roman" w:hAnsi="Times New Roman" w:cs="Times New Roman"/>
          <w:sz w:val="24"/>
          <w:szCs w:val="24"/>
        </w:rPr>
        <w:t xml:space="preserve">(AEM) </w:t>
      </w:r>
      <w:r w:rsidRPr="00CD5568">
        <w:rPr>
          <w:rFonts w:ascii="Times New Roman" w:hAnsi="Times New Roman" w:cs="Times New Roman"/>
          <w:sz w:val="24"/>
          <w:szCs w:val="24"/>
        </w:rPr>
        <w:t>and/or real activities manipulation</w:t>
      </w:r>
      <w:r w:rsidR="00243801">
        <w:rPr>
          <w:rFonts w:ascii="Times New Roman" w:hAnsi="Times New Roman" w:cs="Times New Roman"/>
          <w:sz w:val="24"/>
          <w:szCs w:val="24"/>
        </w:rPr>
        <w:t xml:space="preserve"> (RAM)</w:t>
      </w:r>
      <w:r w:rsidRPr="00CD5568">
        <w:rPr>
          <w:rFonts w:ascii="Times New Roman" w:hAnsi="Times New Roman" w:cs="Times New Roman"/>
          <w:sz w:val="24"/>
          <w:szCs w:val="24"/>
        </w:rPr>
        <w:t xml:space="preserve">) and firm underperformance following seasoned equity offerings (SEOs). </w:t>
      </w:r>
      <w:r w:rsidR="002506BC">
        <w:rPr>
          <w:rFonts w:ascii="Times New Roman" w:hAnsi="Times New Roman" w:cs="Times New Roman"/>
          <w:sz w:val="24"/>
          <w:szCs w:val="24"/>
        </w:rPr>
        <w:t xml:space="preserve">The success of </w:t>
      </w:r>
      <w:r w:rsidRPr="00CD5568">
        <w:rPr>
          <w:rFonts w:ascii="Times New Roman" w:hAnsi="Times New Roman" w:cs="Times New Roman"/>
          <w:sz w:val="24"/>
          <w:szCs w:val="24"/>
        </w:rPr>
        <w:t>SEOs rel</w:t>
      </w:r>
      <w:r w:rsidR="001F2287">
        <w:rPr>
          <w:rFonts w:ascii="Times New Roman" w:hAnsi="Times New Roman" w:cs="Times New Roman"/>
          <w:sz w:val="24"/>
          <w:szCs w:val="24"/>
        </w:rPr>
        <w:t>ies</w:t>
      </w:r>
      <w:r w:rsidRPr="00CD5568">
        <w:rPr>
          <w:rFonts w:ascii="Times New Roman" w:hAnsi="Times New Roman" w:cs="Times New Roman"/>
          <w:sz w:val="24"/>
          <w:szCs w:val="24"/>
        </w:rPr>
        <w:t xml:space="preserve"> on the stock price on the date of issue</w:t>
      </w:r>
      <w:r>
        <w:rPr>
          <w:rFonts w:ascii="Times New Roman" w:hAnsi="Times New Roman" w:cs="Times New Roman"/>
          <w:sz w:val="24"/>
          <w:szCs w:val="24"/>
        </w:rPr>
        <w:t>,</w:t>
      </w:r>
      <w:r w:rsidRPr="00CD5568">
        <w:rPr>
          <w:rFonts w:ascii="Times New Roman" w:hAnsi="Times New Roman" w:cs="Times New Roman"/>
          <w:sz w:val="24"/>
          <w:szCs w:val="24"/>
        </w:rPr>
        <w:t xml:space="preserve"> and the stock price is dependent, at least in part, on earnings. </w:t>
      </w:r>
      <w:r w:rsidR="002506BC">
        <w:rPr>
          <w:rFonts w:ascii="Times New Roman" w:hAnsi="Times New Roman" w:cs="Times New Roman"/>
          <w:sz w:val="24"/>
          <w:szCs w:val="24"/>
        </w:rPr>
        <w:t>E</w:t>
      </w:r>
      <w:r w:rsidRPr="00CD5568">
        <w:rPr>
          <w:rFonts w:ascii="Times New Roman" w:hAnsi="Times New Roman" w:cs="Times New Roman"/>
          <w:sz w:val="24"/>
          <w:szCs w:val="24"/>
        </w:rPr>
        <w:t xml:space="preserve">mpirical evidence </w:t>
      </w:r>
      <w:r w:rsidR="002506BC">
        <w:rPr>
          <w:rFonts w:ascii="Times New Roman" w:hAnsi="Times New Roman" w:cs="Times New Roman"/>
          <w:sz w:val="24"/>
          <w:szCs w:val="24"/>
        </w:rPr>
        <w:t>supports the expectation</w:t>
      </w:r>
      <w:r w:rsidRPr="00CD5568">
        <w:rPr>
          <w:rFonts w:ascii="Times New Roman" w:hAnsi="Times New Roman" w:cs="Times New Roman"/>
          <w:sz w:val="24"/>
          <w:szCs w:val="24"/>
        </w:rPr>
        <w:t xml:space="preserve"> that firms engage in some form of earnings management prior to SEOs</w:t>
      </w:r>
      <w:r>
        <w:rPr>
          <w:rFonts w:ascii="Times New Roman" w:hAnsi="Times New Roman" w:cs="Times New Roman"/>
          <w:sz w:val="24"/>
          <w:szCs w:val="24"/>
        </w:rPr>
        <w:t xml:space="preserve"> in order to inflate earnings, and </w:t>
      </w:r>
      <w:r w:rsidR="00EC5B79">
        <w:rPr>
          <w:rFonts w:ascii="Times New Roman" w:hAnsi="Times New Roman" w:cs="Times New Roman"/>
          <w:sz w:val="24"/>
          <w:szCs w:val="24"/>
        </w:rPr>
        <w:t xml:space="preserve">with </w:t>
      </w:r>
      <w:r w:rsidR="0001404D">
        <w:rPr>
          <w:rFonts w:ascii="Times New Roman" w:hAnsi="Times New Roman" w:cs="Times New Roman"/>
          <w:sz w:val="24"/>
          <w:szCs w:val="24"/>
        </w:rPr>
        <w:t xml:space="preserve">a </w:t>
      </w:r>
      <w:r w:rsidR="00EC5B79">
        <w:rPr>
          <w:rFonts w:ascii="Times New Roman" w:hAnsi="Times New Roman" w:cs="Times New Roman"/>
          <w:sz w:val="24"/>
          <w:szCs w:val="24"/>
        </w:rPr>
        <w:t>consequent</w:t>
      </w:r>
      <w:r w:rsidRPr="00CD5568">
        <w:rPr>
          <w:rFonts w:ascii="Times New Roman" w:hAnsi="Times New Roman" w:cs="Times New Roman"/>
          <w:sz w:val="24"/>
          <w:szCs w:val="24"/>
        </w:rPr>
        <w:t xml:space="preserve"> decline in</w:t>
      </w:r>
      <w:r>
        <w:rPr>
          <w:rFonts w:ascii="Times New Roman" w:hAnsi="Times New Roman" w:cs="Times New Roman"/>
          <w:sz w:val="24"/>
          <w:szCs w:val="24"/>
        </w:rPr>
        <w:t xml:space="preserve"> </w:t>
      </w:r>
      <w:r w:rsidRPr="00CD5568">
        <w:rPr>
          <w:rFonts w:ascii="Times New Roman" w:hAnsi="Times New Roman" w:cs="Times New Roman"/>
          <w:sz w:val="24"/>
          <w:szCs w:val="24"/>
        </w:rPr>
        <w:lastRenderedPageBreak/>
        <w:t>performance after SEOs (</w:t>
      </w:r>
      <w:r w:rsidR="00FC2A72">
        <w:rPr>
          <w:rFonts w:ascii="Times New Roman" w:hAnsi="Times New Roman" w:cs="Times New Roman"/>
          <w:sz w:val="24"/>
          <w:szCs w:val="24"/>
        </w:rPr>
        <w:t>for example</w:t>
      </w:r>
      <w:r w:rsidRPr="00CD5568">
        <w:rPr>
          <w:rFonts w:ascii="Times New Roman" w:hAnsi="Times New Roman" w:cs="Times New Roman"/>
          <w:sz w:val="24"/>
          <w:szCs w:val="24"/>
        </w:rPr>
        <w:t xml:space="preserve">, Loughran </w:t>
      </w:r>
      <w:r w:rsidR="00E15D79">
        <w:rPr>
          <w:rFonts w:ascii="Times New Roman" w:hAnsi="Times New Roman" w:cs="Times New Roman"/>
          <w:sz w:val="24"/>
          <w:szCs w:val="24"/>
        </w:rPr>
        <w:t>and</w:t>
      </w:r>
      <w:r w:rsidRPr="00CD5568">
        <w:rPr>
          <w:rFonts w:ascii="Times New Roman" w:hAnsi="Times New Roman" w:cs="Times New Roman"/>
          <w:sz w:val="24"/>
          <w:szCs w:val="24"/>
        </w:rPr>
        <w:t xml:space="preserve"> Ritter, 1995, 1997). Studies of this phenomenon have tended to focus on </w:t>
      </w:r>
      <w:r w:rsidR="00B60212">
        <w:rPr>
          <w:rFonts w:ascii="Times New Roman" w:hAnsi="Times New Roman" w:cs="Times New Roman"/>
          <w:sz w:val="24"/>
          <w:szCs w:val="24"/>
        </w:rPr>
        <w:t>AEM</w:t>
      </w:r>
      <w:r w:rsidRPr="00CD5568">
        <w:rPr>
          <w:rFonts w:ascii="Times New Roman" w:hAnsi="Times New Roman" w:cs="Times New Roman"/>
          <w:sz w:val="24"/>
          <w:szCs w:val="24"/>
        </w:rPr>
        <w:t xml:space="preserve"> (</w:t>
      </w:r>
      <w:r w:rsidR="00D762EE">
        <w:rPr>
          <w:rFonts w:ascii="Times New Roman" w:hAnsi="Times New Roman" w:cs="Times New Roman"/>
          <w:sz w:val="24"/>
          <w:szCs w:val="24"/>
        </w:rPr>
        <w:t>for example</w:t>
      </w:r>
      <w:r w:rsidRPr="00CD5568">
        <w:rPr>
          <w:rFonts w:ascii="Times New Roman" w:hAnsi="Times New Roman" w:cs="Times New Roman"/>
          <w:sz w:val="24"/>
          <w:szCs w:val="24"/>
        </w:rPr>
        <w:t xml:space="preserve">, Rangan, 1998; </w:t>
      </w:r>
      <w:r w:rsidR="007B71AC" w:rsidRPr="00CD5568">
        <w:rPr>
          <w:rFonts w:ascii="Times New Roman" w:hAnsi="Times New Roman" w:cs="Times New Roman"/>
          <w:sz w:val="24"/>
          <w:szCs w:val="24"/>
        </w:rPr>
        <w:t>Shivakumar, 2000</w:t>
      </w:r>
      <w:r w:rsidR="008E1F48">
        <w:rPr>
          <w:rFonts w:ascii="Times New Roman" w:hAnsi="Times New Roman" w:cs="Times New Roman"/>
          <w:sz w:val="24"/>
          <w:szCs w:val="24"/>
        </w:rPr>
        <w:t xml:space="preserve">; </w:t>
      </w:r>
      <w:r w:rsidRPr="00E60BBC">
        <w:rPr>
          <w:rFonts w:ascii="Times New Roman" w:hAnsi="Times New Roman" w:cs="Times New Roman"/>
          <w:sz w:val="24"/>
          <w:szCs w:val="24"/>
        </w:rPr>
        <w:t>Teoh</w:t>
      </w:r>
      <w:r w:rsidR="00E15D79">
        <w:rPr>
          <w:rFonts w:ascii="Times New Roman" w:hAnsi="Times New Roman" w:cs="Times New Roman"/>
          <w:sz w:val="24"/>
          <w:szCs w:val="24"/>
        </w:rPr>
        <w:t xml:space="preserve"> et al.</w:t>
      </w:r>
      <w:r w:rsidRPr="00E60BBC">
        <w:rPr>
          <w:rFonts w:ascii="Times New Roman" w:hAnsi="Times New Roman" w:cs="Times New Roman"/>
          <w:sz w:val="24"/>
          <w:szCs w:val="24"/>
        </w:rPr>
        <w:t xml:space="preserve">, </w:t>
      </w:r>
      <w:r w:rsidRPr="00CD5568">
        <w:rPr>
          <w:rFonts w:ascii="Times New Roman" w:hAnsi="Times New Roman" w:cs="Times New Roman"/>
          <w:sz w:val="24"/>
          <w:szCs w:val="24"/>
        </w:rPr>
        <w:t>1998)</w:t>
      </w:r>
      <w:r>
        <w:rPr>
          <w:rFonts w:ascii="Times New Roman" w:hAnsi="Times New Roman" w:cs="Times New Roman"/>
          <w:sz w:val="24"/>
          <w:szCs w:val="24"/>
        </w:rPr>
        <w:t>, but a</w:t>
      </w:r>
      <w:r w:rsidRPr="00CD5568">
        <w:rPr>
          <w:rFonts w:ascii="Times New Roman" w:hAnsi="Times New Roman" w:cs="Times New Roman"/>
          <w:sz w:val="24"/>
          <w:szCs w:val="24"/>
        </w:rPr>
        <w:t xml:space="preserve"> growing number of studies </w:t>
      </w:r>
      <w:r w:rsidR="00D762EE">
        <w:rPr>
          <w:rFonts w:ascii="Times New Roman" w:hAnsi="Times New Roman" w:cs="Times New Roman"/>
          <w:sz w:val="24"/>
          <w:szCs w:val="24"/>
        </w:rPr>
        <w:t>have found</w:t>
      </w:r>
      <w:r w:rsidRPr="00CD5568">
        <w:rPr>
          <w:rFonts w:ascii="Times New Roman" w:hAnsi="Times New Roman" w:cs="Times New Roman"/>
          <w:sz w:val="24"/>
          <w:szCs w:val="24"/>
        </w:rPr>
        <w:t xml:space="preserve"> that firms engage in both </w:t>
      </w:r>
      <w:r>
        <w:rPr>
          <w:rFonts w:ascii="Times New Roman" w:hAnsi="Times New Roman" w:cs="Times New Roman"/>
          <w:sz w:val="24"/>
          <w:szCs w:val="24"/>
        </w:rPr>
        <w:t>AEM</w:t>
      </w:r>
      <w:r w:rsidRPr="00CD5568">
        <w:rPr>
          <w:rFonts w:ascii="Times New Roman" w:hAnsi="Times New Roman" w:cs="Times New Roman"/>
          <w:sz w:val="24"/>
          <w:szCs w:val="24"/>
        </w:rPr>
        <w:t xml:space="preserve"> and </w:t>
      </w:r>
      <w:r>
        <w:rPr>
          <w:rFonts w:ascii="Times New Roman" w:hAnsi="Times New Roman" w:cs="Times New Roman"/>
          <w:sz w:val="24"/>
          <w:szCs w:val="24"/>
        </w:rPr>
        <w:t>RAM</w:t>
      </w:r>
      <w:r w:rsidRPr="00CD5568">
        <w:rPr>
          <w:rFonts w:ascii="Times New Roman" w:hAnsi="Times New Roman" w:cs="Times New Roman"/>
          <w:sz w:val="24"/>
          <w:szCs w:val="24"/>
        </w:rPr>
        <w:t xml:space="preserve"> for this purpose (</w:t>
      </w:r>
      <w:r w:rsidR="00C750F1">
        <w:rPr>
          <w:rFonts w:ascii="Times New Roman" w:hAnsi="Times New Roman" w:cs="Times New Roman"/>
          <w:sz w:val="24"/>
          <w:szCs w:val="24"/>
        </w:rPr>
        <w:t>for example</w:t>
      </w:r>
      <w:r w:rsidRPr="00CD5568">
        <w:rPr>
          <w:rFonts w:ascii="Times New Roman" w:hAnsi="Times New Roman" w:cs="Times New Roman"/>
          <w:sz w:val="24"/>
          <w:szCs w:val="24"/>
        </w:rPr>
        <w:t xml:space="preserve">, Cohen </w:t>
      </w:r>
      <w:r w:rsidR="00597DA6">
        <w:rPr>
          <w:rFonts w:ascii="Times New Roman" w:hAnsi="Times New Roman" w:cs="Times New Roman"/>
          <w:sz w:val="24"/>
          <w:szCs w:val="24"/>
        </w:rPr>
        <w:t>and</w:t>
      </w:r>
      <w:r w:rsidRPr="00CD5568">
        <w:rPr>
          <w:rFonts w:ascii="Times New Roman" w:hAnsi="Times New Roman" w:cs="Times New Roman"/>
          <w:sz w:val="24"/>
          <w:szCs w:val="24"/>
        </w:rPr>
        <w:t xml:space="preserve"> Zarowin, 2010; </w:t>
      </w:r>
      <w:r w:rsidRPr="00E60BBC">
        <w:rPr>
          <w:rFonts w:ascii="Times New Roman" w:hAnsi="Times New Roman" w:cs="Times New Roman"/>
          <w:sz w:val="24"/>
          <w:szCs w:val="24"/>
        </w:rPr>
        <w:t>Kothari</w:t>
      </w:r>
      <w:r w:rsidR="00597DA6">
        <w:rPr>
          <w:rFonts w:ascii="Times New Roman" w:hAnsi="Times New Roman" w:cs="Times New Roman"/>
          <w:sz w:val="24"/>
          <w:szCs w:val="24"/>
        </w:rPr>
        <w:t xml:space="preserve"> et al.,</w:t>
      </w:r>
      <w:r w:rsidRPr="00CD5568" w:rsidDel="002C2A9C">
        <w:rPr>
          <w:rFonts w:ascii="Times New Roman" w:hAnsi="Times New Roman" w:cs="Times New Roman"/>
          <w:sz w:val="24"/>
          <w:szCs w:val="24"/>
        </w:rPr>
        <w:t xml:space="preserve"> </w:t>
      </w:r>
      <w:r w:rsidRPr="00CD5568">
        <w:rPr>
          <w:rFonts w:ascii="Times New Roman" w:hAnsi="Times New Roman" w:cs="Times New Roman"/>
          <w:sz w:val="24"/>
          <w:szCs w:val="24"/>
        </w:rPr>
        <w:t>2016).</w:t>
      </w:r>
      <w:r>
        <w:rPr>
          <w:rFonts w:ascii="Times New Roman" w:hAnsi="Times New Roman" w:cs="Times New Roman"/>
          <w:sz w:val="24"/>
          <w:szCs w:val="24"/>
        </w:rPr>
        <w:t xml:space="preserve"> However, </w:t>
      </w:r>
      <w:r w:rsidR="006D073A">
        <w:rPr>
          <w:rFonts w:ascii="Times New Roman" w:hAnsi="Times New Roman" w:cs="Times New Roman"/>
          <w:sz w:val="24"/>
          <w:szCs w:val="24"/>
        </w:rPr>
        <w:t>the studies to date have all been single</w:t>
      </w:r>
      <w:r w:rsidR="0001404D">
        <w:rPr>
          <w:rFonts w:ascii="Times New Roman" w:hAnsi="Times New Roman" w:cs="Times New Roman"/>
          <w:sz w:val="24"/>
          <w:szCs w:val="24"/>
        </w:rPr>
        <w:t>-</w:t>
      </w:r>
      <w:r w:rsidR="006D073A">
        <w:rPr>
          <w:rFonts w:ascii="Times New Roman" w:hAnsi="Times New Roman" w:cs="Times New Roman"/>
          <w:sz w:val="24"/>
          <w:szCs w:val="24"/>
        </w:rPr>
        <w:t>country studies. Our study, being a cross</w:t>
      </w:r>
      <w:r w:rsidR="00961D42">
        <w:rPr>
          <w:rFonts w:ascii="Times New Roman" w:hAnsi="Times New Roman" w:cs="Times New Roman"/>
          <w:sz w:val="24"/>
          <w:szCs w:val="24"/>
        </w:rPr>
        <w:t>-</w:t>
      </w:r>
      <w:r w:rsidR="006D073A">
        <w:rPr>
          <w:rFonts w:ascii="Times New Roman" w:hAnsi="Times New Roman" w:cs="Times New Roman"/>
          <w:sz w:val="24"/>
          <w:szCs w:val="24"/>
        </w:rPr>
        <w:t>country study, provides evidence across a set of countries and we are able to report on how the impact of AEM and/or RAM on post</w:t>
      </w:r>
      <w:r w:rsidR="002477DE">
        <w:rPr>
          <w:rFonts w:ascii="Times New Roman" w:hAnsi="Times New Roman" w:cs="Times New Roman"/>
          <w:sz w:val="24"/>
          <w:szCs w:val="24"/>
        </w:rPr>
        <w:t>-</w:t>
      </w:r>
      <w:r w:rsidR="006D073A">
        <w:rPr>
          <w:rFonts w:ascii="Times New Roman" w:hAnsi="Times New Roman" w:cs="Times New Roman"/>
          <w:sz w:val="24"/>
          <w:szCs w:val="24"/>
        </w:rPr>
        <w:t>SEO performance varies across countries according to the strength of the legal regime operating in a country.</w:t>
      </w:r>
    </w:p>
    <w:p w14:paraId="6E89A5E9" w14:textId="0C2D455A" w:rsidR="008B0EE7" w:rsidRPr="00CD5568"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Understanding the </w:t>
      </w:r>
      <w:r w:rsidR="00242B30">
        <w:rPr>
          <w:rFonts w:ascii="Times New Roman" w:hAnsi="Times New Roman" w:cs="Times New Roman"/>
          <w:sz w:val="24"/>
          <w:szCs w:val="24"/>
        </w:rPr>
        <w:t xml:space="preserve">absolute and </w:t>
      </w:r>
      <w:r>
        <w:rPr>
          <w:rFonts w:ascii="Times New Roman" w:hAnsi="Times New Roman" w:cs="Times New Roman"/>
          <w:sz w:val="24"/>
          <w:szCs w:val="24"/>
        </w:rPr>
        <w:t>relative impact</w:t>
      </w:r>
      <w:r w:rsidR="00242B30">
        <w:rPr>
          <w:rFonts w:ascii="Times New Roman" w:hAnsi="Times New Roman" w:cs="Times New Roman"/>
          <w:sz w:val="24"/>
          <w:szCs w:val="24"/>
        </w:rPr>
        <w:t>s</w:t>
      </w:r>
      <w:r>
        <w:rPr>
          <w:rFonts w:ascii="Times New Roman" w:hAnsi="Times New Roman" w:cs="Times New Roman"/>
          <w:sz w:val="24"/>
          <w:szCs w:val="24"/>
        </w:rPr>
        <w:t xml:space="preserve"> of AEM and RAM is important because each earnings management strategy affects firms’ fundamentals differently. </w:t>
      </w:r>
      <w:r w:rsidR="00242B30">
        <w:rPr>
          <w:rFonts w:ascii="Times New Roman" w:hAnsi="Times New Roman" w:cs="Times New Roman"/>
          <w:sz w:val="24"/>
          <w:szCs w:val="24"/>
        </w:rPr>
        <w:t>AEM</w:t>
      </w:r>
      <w:r>
        <w:rPr>
          <w:rFonts w:ascii="Times New Roman" w:hAnsi="Times New Roman" w:cs="Times New Roman"/>
          <w:sz w:val="24"/>
          <w:szCs w:val="24"/>
        </w:rPr>
        <w:t xml:space="preserve"> deals with estimates, judgements and assumptions </w:t>
      </w:r>
      <w:r w:rsidR="00ED19B9">
        <w:rPr>
          <w:rFonts w:ascii="Times New Roman" w:hAnsi="Times New Roman" w:cs="Times New Roman"/>
          <w:sz w:val="24"/>
          <w:szCs w:val="24"/>
        </w:rPr>
        <w:t xml:space="preserve">made in financial reporting </w:t>
      </w:r>
      <w:r>
        <w:rPr>
          <w:rFonts w:ascii="Times New Roman" w:hAnsi="Times New Roman" w:cs="Times New Roman"/>
          <w:sz w:val="24"/>
          <w:szCs w:val="24"/>
        </w:rPr>
        <w:t xml:space="preserve">that cause a misrepresentation of firms’ underlying operating performance, and </w:t>
      </w:r>
      <w:r w:rsidR="00ED19B9">
        <w:rPr>
          <w:rFonts w:ascii="Times New Roman" w:hAnsi="Times New Roman" w:cs="Times New Roman"/>
          <w:sz w:val="24"/>
          <w:szCs w:val="24"/>
        </w:rPr>
        <w:t xml:space="preserve">which </w:t>
      </w:r>
      <w:r>
        <w:rPr>
          <w:rFonts w:ascii="Times New Roman" w:hAnsi="Times New Roman" w:cs="Times New Roman"/>
          <w:sz w:val="24"/>
          <w:szCs w:val="24"/>
        </w:rPr>
        <w:t>may reverse in subsequent periods. RAM, on the other hand, has real economic consequences because it alters real operating decisions through, for example, reduction in investment and research and development</w:t>
      </w:r>
      <w:r w:rsidR="009E0444">
        <w:rPr>
          <w:rFonts w:ascii="Times New Roman" w:hAnsi="Times New Roman" w:cs="Times New Roman"/>
          <w:sz w:val="24"/>
          <w:szCs w:val="24"/>
        </w:rPr>
        <w:t>,</w:t>
      </w:r>
      <w:r>
        <w:rPr>
          <w:rFonts w:ascii="Times New Roman" w:hAnsi="Times New Roman" w:cs="Times New Roman"/>
          <w:sz w:val="24"/>
          <w:szCs w:val="24"/>
        </w:rPr>
        <w:t xml:space="preserve"> in order to meet short-term goals, but may have severe long-term effects on firms’ economic fundamentals.</w:t>
      </w:r>
    </w:p>
    <w:p w14:paraId="31AEBEC7" w14:textId="45A4B5E1" w:rsidR="008B0EE7" w:rsidRDefault="009E0444"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w:t>
      </w:r>
      <w:r w:rsidR="008B0EE7">
        <w:rPr>
          <w:rFonts w:ascii="Times New Roman" w:hAnsi="Times New Roman" w:cs="Times New Roman"/>
          <w:sz w:val="24"/>
          <w:szCs w:val="24"/>
        </w:rPr>
        <w:t xml:space="preserve">he </w:t>
      </w:r>
      <w:r w:rsidR="008B0EE7" w:rsidRPr="00CD5568">
        <w:rPr>
          <w:rFonts w:ascii="Times New Roman" w:hAnsi="Times New Roman" w:cs="Times New Roman"/>
          <w:sz w:val="24"/>
          <w:szCs w:val="24"/>
        </w:rPr>
        <w:t xml:space="preserve">SEO setting </w:t>
      </w:r>
      <w:r w:rsidR="008B0EE7">
        <w:rPr>
          <w:rFonts w:ascii="Times New Roman" w:hAnsi="Times New Roman" w:cs="Times New Roman"/>
          <w:sz w:val="24"/>
          <w:szCs w:val="24"/>
        </w:rPr>
        <w:t xml:space="preserve">is </w:t>
      </w:r>
      <w:r w:rsidR="00D6350C">
        <w:rPr>
          <w:rFonts w:ascii="Times New Roman" w:hAnsi="Times New Roman" w:cs="Times New Roman"/>
          <w:sz w:val="24"/>
          <w:szCs w:val="24"/>
        </w:rPr>
        <w:t xml:space="preserve">different from the normal reporting setting for firms in that it is </w:t>
      </w:r>
      <w:r w:rsidR="008B0EE7" w:rsidRPr="00CD5568">
        <w:rPr>
          <w:rFonts w:ascii="Times New Roman" w:hAnsi="Times New Roman" w:cs="Times New Roman"/>
          <w:sz w:val="24"/>
          <w:szCs w:val="24"/>
        </w:rPr>
        <w:t>typifie</w:t>
      </w:r>
      <w:r w:rsidR="008B0EE7">
        <w:rPr>
          <w:rFonts w:ascii="Times New Roman" w:hAnsi="Times New Roman" w:cs="Times New Roman"/>
          <w:sz w:val="24"/>
          <w:szCs w:val="24"/>
        </w:rPr>
        <w:t>d by</w:t>
      </w:r>
      <w:r w:rsidR="008B0EE7" w:rsidRPr="00CD5568">
        <w:rPr>
          <w:rFonts w:ascii="Times New Roman" w:hAnsi="Times New Roman" w:cs="Times New Roman"/>
          <w:sz w:val="24"/>
          <w:szCs w:val="24"/>
        </w:rPr>
        <w:t xml:space="preserve"> a period of </w:t>
      </w:r>
      <w:r w:rsidR="00D6350C">
        <w:rPr>
          <w:rFonts w:ascii="Times New Roman" w:hAnsi="Times New Roman" w:cs="Times New Roman"/>
          <w:sz w:val="24"/>
          <w:szCs w:val="24"/>
        </w:rPr>
        <w:t xml:space="preserve">deeper </w:t>
      </w:r>
      <w:r w:rsidR="008B0EE7" w:rsidRPr="00CD5568">
        <w:rPr>
          <w:rFonts w:ascii="Times New Roman" w:hAnsi="Times New Roman" w:cs="Times New Roman"/>
          <w:sz w:val="24"/>
          <w:szCs w:val="24"/>
        </w:rPr>
        <w:t>scrutiny of firms</w:t>
      </w:r>
      <w:r w:rsidR="008B0EE7">
        <w:rPr>
          <w:rFonts w:ascii="Times New Roman" w:hAnsi="Times New Roman" w:cs="Times New Roman"/>
          <w:sz w:val="24"/>
          <w:szCs w:val="24"/>
        </w:rPr>
        <w:t>’</w:t>
      </w:r>
      <w:r w:rsidR="008B0EE7" w:rsidRPr="00CD5568">
        <w:rPr>
          <w:rFonts w:ascii="Times New Roman" w:hAnsi="Times New Roman" w:cs="Times New Roman"/>
          <w:sz w:val="24"/>
          <w:szCs w:val="24"/>
        </w:rPr>
        <w:t xml:space="preserve"> financial information</w:t>
      </w:r>
      <w:r w:rsidR="00D6350C">
        <w:rPr>
          <w:rFonts w:ascii="Times New Roman" w:hAnsi="Times New Roman" w:cs="Times New Roman"/>
          <w:sz w:val="24"/>
          <w:szCs w:val="24"/>
        </w:rPr>
        <w:t>. The feature</w:t>
      </w:r>
      <w:r w:rsidR="00203A56">
        <w:rPr>
          <w:rFonts w:ascii="Times New Roman" w:hAnsi="Times New Roman" w:cs="Times New Roman"/>
          <w:sz w:val="24"/>
          <w:szCs w:val="24"/>
        </w:rPr>
        <w:t>s</w:t>
      </w:r>
      <w:r w:rsidR="00D6350C">
        <w:rPr>
          <w:rFonts w:ascii="Times New Roman" w:hAnsi="Times New Roman" w:cs="Times New Roman"/>
          <w:sz w:val="24"/>
          <w:szCs w:val="24"/>
        </w:rPr>
        <w:t xml:space="preserve"> of SEOs</w:t>
      </w:r>
      <w:r w:rsidR="008B0EE7">
        <w:rPr>
          <w:rFonts w:ascii="Times New Roman" w:hAnsi="Times New Roman" w:cs="Times New Roman"/>
          <w:sz w:val="24"/>
          <w:szCs w:val="24"/>
        </w:rPr>
        <w:t xml:space="preserve"> </w:t>
      </w:r>
      <w:r w:rsidR="008B0EE7" w:rsidRPr="00CD5568">
        <w:rPr>
          <w:rFonts w:ascii="Times New Roman" w:hAnsi="Times New Roman" w:cs="Times New Roman"/>
          <w:sz w:val="24"/>
          <w:szCs w:val="24"/>
        </w:rPr>
        <w:t xml:space="preserve">may hinder </w:t>
      </w:r>
      <w:r w:rsidR="008B0EE7">
        <w:rPr>
          <w:rFonts w:ascii="Times New Roman" w:hAnsi="Times New Roman" w:cs="Times New Roman"/>
          <w:sz w:val="24"/>
          <w:szCs w:val="24"/>
        </w:rPr>
        <w:t xml:space="preserve">the ability of </w:t>
      </w:r>
      <w:r w:rsidR="008B0EE7" w:rsidRPr="00CD5568">
        <w:rPr>
          <w:rFonts w:ascii="Times New Roman" w:hAnsi="Times New Roman" w:cs="Times New Roman"/>
          <w:sz w:val="24"/>
          <w:szCs w:val="24"/>
        </w:rPr>
        <w:t xml:space="preserve">firms </w:t>
      </w:r>
      <w:r w:rsidR="008B0EE7">
        <w:rPr>
          <w:rFonts w:ascii="Times New Roman" w:hAnsi="Times New Roman" w:cs="Times New Roman"/>
          <w:sz w:val="24"/>
          <w:szCs w:val="24"/>
        </w:rPr>
        <w:t xml:space="preserve">to engage in at least some </w:t>
      </w:r>
      <w:r w:rsidR="008B0EE7" w:rsidRPr="00CD5568">
        <w:rPr>
          <w:rFonts w:ascii="Times New Roman" w:hAnsi="Times New Roman" w:cs="Times New Roman"/>
          <w:sz w:val="24"/>
          <w:szCs w:val="24"/>
        </w:rPr>
        <w:t>f</w:t>
      </w:r>
      <w:r w:rsidR="008B0EE7">
        <w:rPr>
          <w:rFonts w:ascii="Times New Roman" w:hAnsi="Times New Roman" w:cs="Times New Roman"/>
          <w:sz w:val="24"/>
          <w:szCs w:val="24"/>
        </w:rPr>
        <w:t>orm of</w:t>
      </w:r>
      <w:r w:rsidR="008B0EE7" w:rsidRPr="00CD5568">
        <w:rPr>
          <w:rFonts w:ascii="Times New Roman" w:hAnsi="Times New Roman" w:cs="Times New Roman"/>
          <w:sz w:val="24"/>
          <w:szCs w:val="24"/>
        </w:rPr>
        <w:t xml:space="preserve"> earnings management</w:t>
      </w:r>
      <w:r w:rsidR="008B0EE7">
        <w:rPr>
          <w:rFonts w:ascii="Times New Roman" w:hAnsi="Times New Roman" w:cs="Times New Roman"/>
          <w:sz w:val="24"/>
          <w:szCs w:val="24"/>
        </w:rPr>
        <w:t xml:space="preserve">, the type and the extent of which is </w:t>
      </w:r>
      <w:r w:rsidR="00E93BFD">
        <w:rPr>
          <w:rFonts w:ascii="Times New Roman" w:hAnsi="Times New Roman" w:cs="Times New Roman"/>
          <w:sz w:val="24"/>
          <w:szCs w:val="24"/>
        </w:rPr>
        <w:t xml:space="preserve">likely to </w:t>
      </w:r>
      <w:r w:rsidR="00BD03A2">
        <w:rPr>
          <w:rFonts w:ascii="Times New Roman" w:hAnsi="Times New Roman" w:cs="Times New Roman"/>
          <w:sz w:val="24"/>
          <w:szCs w:val="24"/>
        </w:rPr>
        <w:t xml:space="preserve">be </w:t>
      </w:r>
      <w:r w:rsidR="008B0EE7">
        <w:rPr>
          <w:rFonts w:ascii="Times New Roman" w:hAnsi="Times New Roman" w:cs="Times New Roman"/>
          <w:sz w:val="24"/>
          <w:szCs w:val="24"/>
        </w:rPr>
        <w:t xml:space="preserve">dependent on </w:t>
      </w:r>
      <w:r w:rsidR="0074654F">
        <w:rPr>
          <w:rFonts w:ascii="Times New Roman" w:hAnsi="Times New Roman" w:cs="Times New Roman"/>
          <w:sz w:val="24"/>
          <w:szCs w:val="24"/>
        </w:rPr>
        <w:t>the legal regime operating in the country</w:t>
      </w:r>
      <w:r w:rsidR="008B0EE7" w:rsidRPr="00CD5568">
        <w:rPr>
          <w:rFonts w:ascii="Times New Roman" w:hAnsi="Times New Roman" w:cs="Times New Roman"/>
          <w:sz w:val="24"/>
          <w:szCs w:val="24"/>
        </w:rPr>
        <w:t xml:space="preserve">. </w:t>
      </w:r>
      <w:r w:rsidR="008B0EE7">
        <w:rPr>
          <w:rFonts w:ascii="Times New Roman" w:hAnsi="Times New Roman" w:cs="Times New Roman"/>
          <w:sz w:val="24"/>
          <w:szCs w:val="24"/>
        </w:rPr>
        <w:t xml:space="preserve">A stronger legal regime is characterised by more vigilant regulators, auditors, and financial analysts. Therefore, it is expected that the strength of </w:t>
      </w:r>
      <w:r w:rsidR="0074654F">
        <w:rPr>
          <w:rFonts w:ascii="Times New Roman" w:hAnsi="Times New Roman" w:cs="Times New Roman"/>
          <w:sz w:val="24"/>
          <w:szCs w:val="24"/>
        </w:rPr>
        <w:t xml:space="preserve">the </w:t>
      </w:r>
      <w:r w:rsidR="008B0EE7">
        <w:rPr>
          <w:rFonts w:ascii="Times New Roman" w:hAnsi="Times New Roman" w:cs="Times New Roman"/>
          <w:sz w:val="24"/>
          <w:szCs w:val="24"/>
        </w:rPr>
        <w:t xml:space="preserve">legal regime will affect the relative opacity of AEM and RAM across countries. Legal regimes can affect the relative impact of AEM and RAM </w:t>
      </w:r>
      <w:r w:rsidR="008F2136">
        <w:rPr>
          <w:rFonts w:ascii="Times New Roman" w:hAnsi="Times New Roman" w:cs="Times New Roman"/>
          <w:sz w:val="24"/>
          <w:szCs w:val="24"/>
        </w:rPr>
        <w:t xml:space="preserve">and </w:t>
      </w:r>
      <w:r w:rsidR="008B0EE7">
        <w:rPr>
          <w:rFonts w:ascii="Times New Roman" w:hAnsi="Times New Roman" w:cs="Times New Roman"/>
          <w:sz w:val="24"/>
          <w:szCs w:val="24"/>
        </w:rPr>
        <w:t>chang</w:t>
      </w:r>
      <w:r w:rsidR="008F2136">
        <w:rPr>
          <w:rFonts w:ascii="Times New Roman" w:hAnsi="Times New Roman" w:cs="Times New Roman"/>
          <w:sz w:val="24"/>
          <w:szCs w:val="24"/>
        </w:rPr>
        <w:t>e</w:t>
      </w:r>
      <w:r w:rsidR="008B0EE7">
        <w:rPr>
          <w:rFonts w:ascii="Times New Roman" w:hAnsi="Times New Roman" w:cs="Times New Roman"/>
          <w:sz w:val="24"/>
          <w:szCs w:val="24"/>
        </w:rPr>
        <w:t xml:space="preserve"> managers’ choice between AEM and RAM. </w:t>
      </w:r>
      <w:r w:rsidR="005F0FBA">
        <w:rPr>
          <w:rFonts w:ascii="Times New Roman" w:hAnsi="Times New Roman" w:cs="Times New Roman"/>
          <w:sz w:val="24"/>
          <w:szCs w:val="24"/>
        </w:rPr>
        <w:t>The e</w:t>
      </w:r>
      <w:r w:rsidR="008B0EE7">
        <w:rPr>
          <w:rFonts w:ascii="Times New Roman" w:hAnsi="Times New Roman" w:cs="Times New Roman"/>
          <w:sz w:val="24"/>
          <w:szCs w:val="24"/>
        </w:rPr>
        <w:t xml:space="preserve">xisting literature </w:t>
      </w:r>
      <w:r w:rsidR="005F0FBA">
        <w:rPr>
          <w:rFonts w:ascii="Times New Roman" w:hAnsi="Times New Roman" w:cs="Times New Roman"/>
          <w:sz w:val="24"/>
          <w:szCs w:val="24"/>
        </w:rPr>
        <w:t>reports</w:t>
      </w:r>
      <w:r w:rsidR="008B0EE7">
        <w:rPr>
          <w:rFonts w:ascii="Times New Roman" w:hAnsi="Times New Roman" w:cs="Times New Roman"/>
          <w:sz w:val="24"/>
          <w:szCs w:val="24"/>
        </w:rPr>
        <w:t xml:space="preserve"> a shift from AEM to RAM under intense scrutiny. For example, Cohen</w:t>
      </w:r>
      <w:r w:rsidR="00597DA6">
        <w:rPr>
          <w:rFonts w:ascii="Times New Roman" w:hAnsi="Times New Roman" w:cs="Times New Roman"/>
          <w:sz w:val="24"/>
          <w:szCs w:val="24"/>
        </w:rPr>
        <w:t xml:space="preserve"> et al.</w:t>
      </w:r>
      <w:r w:rsidR="008B0EE7">
        <w:rPr>
          <w:rFonts w:ascii="Times New Roman" w:hAnsi="Times New Roman" w:cs="Times New Roman"/>
          <w:sz w:val="24"/>
          <w:szCs w:val="24"/>
        </w:rPr>
        <w:t xml:space="preserve"> (2008) </w:t>
      </w:r>
      <w:r w:rsidR="008B0EE7">
        <w:rPr>
          <w:rFonts w:ascii="Times New Roman" w:hAnsi="Times New Roman" w:cs="Times New Roman"/>
          <w:sz w:val="24"/>
          <w:szCs w:val="24"/>
        </w:rPr>
        <w:lastRenderedPageBreak/>
        <w:t>document that firms resorted to RAM after the passage of the “Sarbanes-Oxley Act which sought to limit questionable accrual choices”. Therefore, in a stronger legal regime that is characterised by greater scrutiny, we expect the effect of RAM on firm performance to be more pronounced than that of AEM.</w:t>
      </w:r>
    </w:p>
    <w:p w14:paraId="17D997C3" w14:textId="2E26D8B1" w:rsidR="008B0EE7" w:rsidRPr="00CD5568"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There are good reasons to</w:t>
      </w:r>
      <w:r w:rsidRPr="00CD5568">
        <w:rPr>
          <w:rFonts w:ascii="Times New Roman" w:hAnsi="Times New Roman" w:cs="Times New Roman"/>
          <w:sz w:val="24"/>
          <w:szCs w:val="24"/>
        </w:rPr>
        <w:t xml:space="preserve"> investigat</w:t>
      </w:r>
      <w:r>
        <w:rPr>
          <w:rFonts w:ascii="Times New Roman" w:hAnsi="Times New Roman" w:cs="Times New Roman"/>
          <w:sz w:val="24"/>
          <w:szCs w:val="24"/>
        </w:rPr>
        <w:t>e</w:t>
      </w:r>
      <w:r w:rsidRPr="00CD5568">
        <w:rPr>
          <w:rFonts w:ascii="Times New Roman" w:hAnsi="Times New Roman" w:cs="Times New Roman"/>
          <w:sz w:val="24"/>
          <w:szCs w:val="24"/>
        </w:rPr>
        <w:t xml:space="preserve"> the </w:t>
      </w:r>
      <w:r w:rsidR="004C45C6">
        <w:rPr>
          <w:rFonts w:ascii="Times New Roman" w:hAnsi="Times New Roman" w:cs="Times New Roman"/>
          <w:sz w:val="24"/>
          <w:szCs w:val="24"/>
        </w:rPr>
        <w:t xml:space="preserve">impact of AEM and/or RAM on </w:t>
      </w:r>
      <w:r w:rsidRPr="00CD5568">
        <w:rPr>
          <w:rFonts w:ascii="Times New Roman" w:hAnsi="Times New Roman" w:cs="Times New Roman"/>
          <w:sz w:val="24"/>
          <w:szCs w:val="24"/>
        </w:rPr>
        <w:t xml:space="preserve">post-SEO </w:t>
      </w:r>
      <w:r w:rsidR="004C45C6">
        <w:rPr>
          <w:rFonts w:ascii="Times New Roman" w:hAnsi="Times New Roman" w:cs="Times New Roman"/>
          <w:sz w:val="24"/>
          <w:szCs w:val="24"/>
        </w:rPr>
        <w:t>performance</w:t>
      </w:r>
      <w:r w:rsidRPr="00CD5568">
        <w:rPr>
          <w:rFonts w:ascii="Times New Roman" w:hAnsi="Times New Roman" w:cs="Times New Roman"/>
          <w:sz w:val="24"/>
          <w:szCs w:val="24"/>
        </w:rPr>
        <w:t xml:space="preserve"> using a cross-country setting. </w:t>
      </w:r>
      <w:r>
        <w:rPr>
          <w:rFonts w:ascii="Times New Roman" w:hAnsi="Times New Roman" w:cs="Times New Roman"/>
          <w:sz w:val="24"/>
          <w:szCs w:val="24"/>
        </w:rPr>
        <w:t xml:space="preserve">First, </w:t>
      </w:r>
      <w:r w:rsidR="004C45C6">
        <w:rPr>
          <w:rFonts w:ascii="Times New Roman" w:hAnsi="Times New Roman" w:cs="Times New Roman"/>
          <w:sz w:val="24"/>
          <w:szCs w:val="24"/>
        </w:rPr>
        <w:t xml:space="preserve">a </w:t>
      </w:r>
      <w:r w:rsidR="00B644FF">
        <w:rPr>
          <w:rFonts w:ascii="Times New Roman" w:hAnsi="Times New Roman" w:cs="Times New Roman"/>
          <w:sz w:val="24"/>
          <w:szCs w:val="24"/>
        </w:rPr>
        <w:t>cross</w:t>
      </w:r>
      <w:r w:rsidR="00F5459F">
        <w:rPr>
          <w:rFonts w:ascii="Times New Roman" w:hAnsi="Times New Roman" w:cs="Times New Roman"/>
          <w:sz w:val="24"/>
          <w:szCs w:val="24"/>
        </w:rPr>
        <w:t>-</w:t>
      </w:r>
      <w:r w:rsidR="00B644FF">
        <w:rPr>
          <w:rFonts w:ascii="Times New Roman" w:hAnsi="Times New Roman" w:cs="Times New Roman"/>
          <w:sz w:val="24"/>
          <w:szCs w:val="24"/>
        </w:rPr>
        <w:t>country study adds to the evidence provided to date by the single</w:t>
      </w:r>
      <w:r w:rsidR="00C67CB1">
        <w:rPr>
          <w:rFonts w:ascii="Times New Roman" w:hAnsi="Times New Roman" w:cs="Times New Roman"/>
          <w:sz w:val="24"/>
          <w:szCs w:val="24"/>
        </w:rPr>
        <w:t>-</w:t>
      </w:r>
      <w:r w:rsidR="00B644FF">
        <w:rPr>
          <w:rFonts w:ascii="Times New Roman" w:hAnsi="Times New Roman" w:cs="Times New Roman"/>
          <w:sz w:val="24"/>
          <w:szCs w:val="24"/>
        </w:rPr>
        <w:t>country studies, which have reported on the U.S. (for example</w:t>
      </w:r>
      <w:r w:rsidR="00F955E2">
        <w:rPr>
          <w:rFonts w:ascii="Times New Roman" w:hAnsi="Times New Roman" w:cs="Times New Roman"/>
          <w:sz w:val="24"/>
          <w:szCs w:val="24"/>
        </w:rPr>
        <w:t>,</w:t>
      </w:r>
      <w:r w:rsidR="00252507" w:rsidRPr="00252507">
        <w:rPr>
          <w:rFonts w:ascii="Times New Roman" w:hAnsi="Times New Roman" w:cs="Times New Roman"/>
          <w:sz w:val="24"/>
          <w:szCs w:val="24"/>
        </w:rPr>
        <w:t xml:space="preserve"> </w:t>
      </w:r>
      <w:r w:rsidR="00252507" w:rsidRPr="00CD5568">
        <w:rPr>
          <w:rFonts w:ascii="Times New Roman" w:hAnsi="Times New Roman" w:cs="Times New Roman"/>
          <w:sz w:val="24"/>
          <w:szCs w:val="24"/>
        </w:rPr>
        <w:t xml:space="preserve">Cohen </w:t>
      </w:r>
      <w:r w:rsidR="00252507">
        <w:rPr>
          <w:rFonts w:ascii="Times New Roman" w:hAnsi="Times New Roman" w:cs="Times New Roman"/>
          <w:sz w:val="24"/>
          <w:szCs w:val="24"/>
        </w:rPr>
        <w:t>and</w:t>
      </w:r>
      <w:r w:rsidR="00252507" w:rsidRPr="00CD5568">
        <w:rPr>
          <w:rFonts w:ascii="Times New Roman" w:hAnsi="Times New Roman" w:cs="Times New Roman"/>
          <w:sz w:val="24"/>
          <w:szCs w:val="24"/>
        </w:rPr>
        <w:t xml:space="preserve"> Zarowin, 2010; Kothari et al., 2016; Rangan, 1998; Shivakumar, 2000; Teoh et al., 1998), Canada (Pandes, 2010)</w:t>
      </w:r>
      <w:r w:rsidR="00F955E2">
        <w:rPr>
          <w:rFonts w:ascii="Times New Roman" w:hAnsi="Times New Roman" w:cs="Times New Roman"/>
          <w:sz w:val="24"/>
          <w:szCs w:val="24"/>
        </w:rPr>
        <w:t xml:space="preserve"> and a small number of </w:t>
      </w:r>
      <w:r w:rsidR="00544036">
        <w:rPr>
          <w:rFonts w:ascii="Times New Roman" w:hAnsi="Times New Roman" w:cs="Times New Roman"/>
          <w:sz w:val="24"/>
          <w:szCs w:val="24"/>
        </w:rPr>
        <w:t xml:space="preserve">European countries </w:t>
      </w:r>
      <w:r w:rsidR="00544036" w:rsidRPr="00CD5568">
        <w:rPr>
          <w:rFonts w:ascii="Times New Roman" w:hAnsi="Times New Roman" w:cs="Times New Roman"/>
          <w:sz w:val="24"/>
          <w:szCs w:val="24"/>
        </w:rPr>
        <w:t>(</w:t>
      </w:r>
      <w:r w:rsidR="00544036">
        <w:rPr>
          <w:rFonts w:ascii="Times New Roman" w:hAnsi="Times New Roman" w:cs="Times New Roman"/>
          <w:sz w:val="24"/>
          <w:szCs w:val="24"/>
        </w:rPr>
        <w:t>for example</w:t>
      </w:r>
      <w:r w:rsidR="00544036" w:rsidRPr="00CD5568">
        <w:rPr>
          <w:rFonts w:ascii="Times New Roman" w:hAnsi="Times New Roman" w:cs="Times New Roman"/>
          <w:sz w:val="24"/>
          <w:szCs w:val="24"/>
        </w:rPr>
        <w:t xml:space="preserve">, Gajewski </w:t>
      </w:r>
      <w:r w:rsidR="00544036">
        <w:rPr>
          <w:rFonts w:ascii="Times New Roman" w:hAnsi="Times New Roman" w:cs="Times New Roman"/>
          <w:sz w:val="24"/>
          <w:szCs w:val="24"/>
        </w:rPr>
        <w:t>and</w:t>
      </w:r>
      <w:r w:rsidR="00544036" w:rsidRPr="00CD5568">
        <w:rPr>
          <w:rFonts w:ascii="Times New Roman" w:hAnsi="Times New Roman" w:cs="Times New Roman"/>
          <w:sz w:val="24"/>
          <w:szCs w:val="24"/>
        </w:rPr>
        <w:t xml:space="preserve"> Ginglinger, 2002; </w:t>
      </w:r>
      <w:r w:rsidR="00544036" w:rsidRPr="00E60BBC">
        <w:rPr>
          <w:rFonts w:ascii="Times New Roman" w:hAnsi="Times New Roman" w:cs="Times New Roman"/>
          <w:sz w:val="24"/>
          <w:szCs w:val="24"/>
        </w:rPr>
        <w:t>Harakeh</w:t>
      </w:r>
      <w:r w:rsidR="00544036">
        <w:rPr>
          <w:rFonts w:ascii="Times New Roman" w:hAnsi="Times New Roman" w:cs="Times New Roman"/>
          <w:sz w:val="24"/>
          <w:szCs w:val="24"/>
        </w:rPr>
        <w:t xml:space="preserve"> et al.</w:t>
      </w:r>
      <w:r w:rsidR="00544036" w:rsidRPr="00E60BBC">
        <w:rPr>
          <w:rFonts w:ascii="Times New Roman" w:hAnsi="Times New Roman" w:cs="Times New Roman"/>
          <w:sz w:val="24"/>
          <w:szCs w:val="24"/>
        </w:rPr>
        <w:t>, 2019; Slovin</w:t>
      </w:r>
      <w:r w:rsidR="00544036">
        <w:rPr>
          <w:rFonts w:ascii="Times New Roman" w:hAnsi="Times New Roman" w:cs="Times New Roman"/>
          <w:sz w:val="24"/>
          <w:szCs w:val="24"/>
        </w:rPr>
        <w:t xml:space="preserve"> et al.</w:t>
      </w:r>
      <w:r w:rsidR="00544036" w:rsidRPr="00E60BBC">
        <w:rPr>
          <w:rFonts w:ascii="Times New Roman" w:hAnsi="Times New Roman" w:cs="Times New Roman"/>
          <w:sz w:val="24"/>
          <w:szCs w:val="24"/>
        </w:rPr>
        <w:t>,</w:t>
      </w:r>
      <w:r w:rsidR="00544036" w:rsidRPr="00E60BBC" w:rsidDel="002C2A9C">
        <w:rPr>
          <w:rFonts w:ascii="Times New Roman" w:hAnsi="Times New Roman" w:cs="Times New Roman"/>
          <w:sz w:val="24"/>
          <w:szCs w:val="24"/>
        </w:rPr>
        <w:t xml:space="preserve"> </w:t>
      </w:r>
      <w:r w:rsidR="00544036" w:rsidRPr="00E60BBC">
        <w:rPr>
          <w:rFonts w:ascii="Times New Roman" w:hAnsi="Times New Roman" w:cs="Times New Roman"/>
          <w:sz w:val="24"/>
          <w:szCs w:val="24"/>
        </w:rPr>
        <w:t>2000).</w:t>
      </w:r>
      <w:r w:rsidR="006E6FB6">
        <w:rPr>
          <w:rFonts w:ascii="Times New Roman" w:hAnsi="Times New Roman" w:cs="Times New Roman"/>
          <w:sz w:val="24"/>
          <w:szCs w:val="24"/>
        </w:rPr>
        <w:t xml:space="preserve"> </w:t>
      </w:r>
      <w:r w:rsidR="0018517A">
        <w:rPr>
          <w:rFonts w:ascii="Times New Roman" w:hAnsi="Times New Roman" w:cs="Times New Roman"/>
          <w:sz w:val="24"/>
          <w:szCs w:val="24"/>
        </w:rPr>
        <w:t>In particular, a cross</w:t>
      </w:r>
      <w:r w:rsidR="00C67CB1">
        <w:rPr>
          <w:rFonts w:ascii="Times New Roman" w:hAnsi="Times New Roman" w:cs="Times New Roman"/>
          <w:sz w:val="24"/>
          <w:szCs w:val="24"/>
        </w:rPr>
        <w:t>-</w:t>
      </w:r>
      <w:r w:rsidR="0018517A">
        <w:rPr>
          <w:rFonts w:ascii="Times New Roman" w:hAnsi="Times New Roman" w:cs="Times New Roman"/>
          <w:sz w:val="24"/>
          <w:szCs w:val="24"/>
        </w:rPr>
        <w:t>country study extends the range of the origin of the evidence. Second, and more importantly, a cross</w:t>
      </w:r>
      <w:r w:rsidR="00BA0D7B">
        <w:rPr>
          <w:rFonts w:ascii="Times New Roman" w:hAnsi="Times New Roman" w:cs="Times New Roman"/>
          <w:sz w:val="24"/>
          <w:szCs w:val="24"/>
        </w:rPr>
        <w:t>-</w:t>
      </w:r>
      <w:r w:rsidR="0018517A">
        <w:rPr>
          <w:rFonts w:ascii="Times New Roman" w:hAnsi="Times New Roman" w:cs="Times New Roman"/>
          <w:sz w:val="24"/>
          <w:szCs w:val="24"/>
        </w:rPr>
        <w:t xml:space="preserve">country study facilitates </w:t>
      </w:r>
      <w:r w:rsidR="00C67CB1">
        <w:rPr>
          <w:rFonts w:ascii="Times New Roman" w:hAnsi="Times New Roman" w:cs="Times New Roman"/>
          <w:sz w:val="24"/>
          <w:szCs w:val="24"/>
        </w:rPr>
        <w:t xml:space="preserve">the </w:t>
      </w:r>
      <w:r w:rsidR="0018517A">
        <w:rPr>
          <w:rFonts w:ascii="Times New Roman" w:hAnsi="Times New Roman" w:cs="Times New Roman"/>
          <w:sz w:val="24"/>
          <w:szCs w:val="24"/>
        </w:rPr>
        <w:t xml:space="preserve">study of the impact of factors, such as the legal regime, which </w:t>
      </w:r>
      <w:r w:rsidR="000B5845">
        <w:rPr>
          <w:rFonts w:ascii="Times New Roman" w:hAnsi="Times New Roman" w:cs="Times New Roman"/>
          <w:sz w:val="24"/>
          <w:szCs w:val="24"/>
        </w:rPr>
        <w:t>is</w:t>
      </w:r>
      <w:r w:rsidR="0018517A">
        <w:rPr>
          <w:rFonts w:ascii="Times New Roman" w:hAnsi="Times New Roman" w:cs="Times New Roman"/>
          <w:sz w:val="24"/>
          <w:szCs w:val="24"/>
        </w:rPr>
        <w:t xml:space="preserve"> given for a single</w:t>
      </w:r>
      <w:r w:rsidR="00CA7EA8">
        <w:rPr>
          <w:rFonts w:ascii="Times New Roman" w:hAnsi="Times New Roman" w:cs="Times New Roman"/>
          <w:sz w:val="24"/>
          <w:szCs w:val="24"/>
        </w:rPr>
        <w:t>-</w:t>
      </w:r>
      <w:r w:rsidR="0018517A">
        <w:rPr>
          <w:rFonts w:ascii="Times New Roman" w:hAnsi="Times New Roman" w:cs="Times New Roman"/>
          <w:sz w:val="24"/>
          <w:szCs w:val="24"/>
        </w:rPr>
        <w:t>country study. Admittedly, it might be possible to identify country</w:t>
      </w:r>
      <w:r w:rsidR="00776D8E">
        <w:rPr>
          <w:rFonts w:ascii="Times New Roman" w:hAnsi="Times New Roman" w:cs="Times New Roman"/>
          <w:sz w:val="24"/>
          <w:szCs w:val="24"/>
        </w:rPr>
        <w:t>-</w:t>
      </w:r>
      <w:r w:rsidR="0018517A">
        <w:rPr>
          <w:rFonts w:ascii="Times New Roman" w:hAnsi="Times New Roman" w:cs="Times New Roman"/>
          <w:sz w:val="24"/>
          <w:szCs w:val="24"/>
        </w:rPr>
        <w:t xml:space="preserve">specific institutional change over time, but the study of such change is inevitably confounded by other factors. </w:t>
      </w:r>
      <w:r w:rsidR="0066113D">
        <w:rPr>
          <w:rFonts w:ascii="Times New Roman" w:hAnsi="Times New Roman" w:cs="Times New Roman"/>
          <w:sz w:val="24"/>
          <w:szCs w:val="24"/>
        </w:rPr>
        <w:t>D</w:t>
      </w:r>
      <w:r w:rsidRPr="00CD5568">
        <w:rPr>
          <w:rFonts w:ascii="Times New Roman" w:hAnsi="Times New Roman" w:cs="Times New Roman"/>
          <w:sz w:val="24"/>
          <w:szCs w:val="24"/>
        </w:rPr>
        <w:t>espite the increase in SEOs, cross-border investment</w:t>
      </w:r>
      <w:r>
        <w:rPr>
          <w:rFonts w:ascii="Times New Roman" w:hAnsi="Times New Roman" w:cs="Times New Roman"/>
          <w:sz w:val="24"/>
          <w:szCs w:val="24"/>
        </w:rPr>
        <w:t>,</w:t>
      </w:r>
      <w:r w:rsidRPr="00CD5568">
        <w:rPr>
          <w:rFonts w:ascii="Times New Roman" w:hAnsi="Times New Roman" w:cs="Times New Roman"/>
          <w:sz w:val="24"/>
          <w:szCs w:val="24"/>
        </w:rPr>
        <w:t xml:space="preserve"> and market integration and liberalisation</w:t>
      </w:r>
      <w:r>
        <w:rPr>
          <w:rFonts w:ascii="Times New Roman" w:hAnsi="Times New Roman" w:cs="Times New Roman"/>
          <w:sz w:val="24"/>
          <w:szCs w:val="24"/>
        </w:rPr>
        <w:t xml:space="preserve"> </w:t>
      </w:r>
      <w:r w:rsidRPr="00CD5568">
        <w:rPr>
          <w:rFonts w:ascii="Times New Roman" w:hAnsi="Times New Roman" w:cs="Times New Roman"/>
          <w:sz w:val="24"/>
          <w:szCs w:val="24"/>
        </w:rPr>
        <w:t xml:space="preserve">in recent years, the literature on post-SEO performance </w:t>
      </w:r>
      <w:r w:rsidR="00977A65">
        <w:rPr>
          <w:rFonts w:ascii="Times New Roman" w:hAnsi="Times New Roman" w:cs="Times New Roman"/>
          <w:sz w:val="24"/>
          <w:szCs w:val="24"/>
        </w:rPr>
        <w:t>to date, does not include a cross</w:t>
      </w:r>
      <w:r w:rsidR="00F76CD1">
        <w:rPr>
          <w:rFonts w:ascii="Times New Roman" w:hAnsi="Times New Roman" w:cs="Times New Roman"/>
          <w:sz w:val="24"/>
          <w:szCs w:val="24"/>
        </w:rPr>
        <w:t>-</w:t>
      </w:r>
      <w:r w:rsidR="00977A65">
        <w:rPr>
          <w:rFonts w:ascii="Times New Roman" w:hAnsi="Times New Roman" w:cs="Times New Roman"/>
          <w:sz w:val="24"/>
          <w:szCs w:val="24"/>
        </w:rPr>
        <w:t xml:space="preserve">country study. Our study fills this </w:t>
      </w:r>
      <w:r w:rsidR="000A1DFA">
        <w:rPr>
          <w:rFonts w:ascii="Times New Roman" w:hAnsi="Times New Roman" w:cs="Times New Roman"/>
          <w:sz w:val="24"/>
          <w:szCs w:val="24"/>
        </w:rPr>
        <w:t>gap,</w:t>
      </w:r>
      <w:r w:rsidR="00977A65">
        <w:rPr>
          <w:rFonts w:ascii="Times New Roman" w:hAnsi="Times New Roman" w:cs="Times New Roman"/>
          <w:sz w:val="24"/>
          <w:szCs w:val="24"/>
        </w:rPr>
        <w:t xml:space="preserve"> and we focus on the impact of the legal regime.</w:t>
      </w:r>
    </w:p>
    <w:p w14:paraId="38D0EA0E" w14:textId="76B59E5E" w:rsidR="008B0EE7" w:rsidRPr="00CD5568" w:rsidRDefault="008B0EE7" w:rsidP="00EC6E3C">
      <w:pPr>
        <w:spacing w:after="0" w:line="480" w:lineRule="auto"/>
        <w:ind w:firstLine="284"/>
        <w:jc w:val="both"/>
        <w:rPr>
          <w:rFonts w:ascii="Times New Roman" w:hAnsi="Times New Roman" w:cs="Times New Roman"/>
          <w:sz w:val="24"/>
          <w:szCs w:val="24"/>
        </w:rPr>
      </w:pPr>
      <w:r w:rsidRPr="00EB5DF3">
        <w:rPr>
          <w:rFonts w:ascii="Times New Roman" w:hAnsi="Times New Roman" w:cs="Times New Roman"/>
          <w:sz w:val="24"/>
          <w:szCs w:val="24"/>
        </w:rPr>
        <w:t xml:space="preserve">Using a sample of </w:t>
      </w:r>
      <w:r w:rsidR="00B428CB">
        <w:rPr>
          <w:rFonts w:ascii="Times New Roman" w:hAnsi="Times New Roman" w:cs="Times New Roman"/>
          <w:sz w:val="24"/>
          <w:szCs w:val="24"/>
        </w:rPr>
        <w:t>11</w:t>
      </w:r>
      <w:r w:rsidR="007A2F44">
        <w:rPr>
          <w:rFonts w:ascii="Times New Roman" w:hAnsi="Times New Roman" w:cs="Times New Roman"/>
          <w:sz w:val="24"/>
          <w:szCs w:val="24"/>
        </w:rPr>
        <w:t xml:space="preserve">,764 observations on </w:t>
      </w:r>
      <w:r w:rsidRPr="00EB5DF3">
        <w:rPr>
          <w:rFonts w:ascii="Times New Roman" w:hAnsi="Times New Roman" w:cs="Times New Roman"/>
          <w:sz w:val="24"/>
          <w:szCs w:val="24"/>
        </w:rPr>
        <w:t xml:space="preserve">firms from 22 countries </w:t>
      </w:r>
      <w:r w:rsidR="007A2F44">
        <w:rPr>
          <w:rFonts w:ascii="Times New Roman" w:hAnsi="Times New Roman" w:cs="Times New Roman"/>
          <w:sz w:val="24"/>
          <w:szCs w:val="24"/>
        </w:rPr>
        <w:t>over the period</w:t>
      </w:r>
      <w:r w:rsidR="007A2F44" w:rsidRPr="00EB5DF3">
        <w:rPr>
          <w:rFonts w:ascii="Times New Roman" w:hAnsi="Times New Roman" w:cs="Times New Roman"/>
          <w:sz w:val="24"/>
          <w:szCs w:val="24"/>
        </w:rPr>
        <w:t xml:space="preserve"> </w:t>
      </w:r>
      <w:r w:rsidRPr="00EB5DF3">
        <w:rPr>
          <w:rFonts w:ascii="Times New Roman" w:hAnsi="Times New Roman" w:cs="Times New Roman"/>
          <w:sz w:val="24"/>
          <w:szCs w:val="24"/>
        </w:rPr>
        <w:t>200</w:t>
      </w:r>
      <w:r>
        <w:rPr>
          <w:rFonts w:ascii="Times New Roman" w:hAnsi="Times New Roman" w:cs="Times New Roman"/>
          <w:sz w:val="24"/>
          <w:szCs w:val="24"/>
        </w:rPr>
        <w:t>5</w:t>
      </w:r>
      <w:r w:rsidRPr="00EB5DF3">
        <w:rPr>
          <w:rFonts w:ascii="Times New Roman" w:hAnsi="Times New Roman" w:cs="Times New Roman"/>
          <w:sz w:val="24"/>
          <w:szCs w:val="24"/>
        </w:rPr>
        <w:t xml:space="preserve"> to 2017, we find </w:t>
      </w:r>
      <w:r w:rsidRPr="003A487B">
        <w:rPr>
          <w:rFonts w:ascii="Times New Roman" w:hAnsi="Times New Roman" w:cs="Times New Roman"/>
          <w:sz w:val="24"/>
          <w:szCs w:val="24"/>
        </w:rPr>
        <w:t xml:space="preserve">the following: first, </w:t>
      </w:r>
      <w:r w:rsidRPr="00EB5DF3">
        <w:rPr>
          <w:rFonts w:ascii="Times New Roman" w:hAnsi="Times New Roman" w:cs="Times New Roman"/>
          <w:sz w:val="24"/>
          <w:szCs w:val="24"/>
        </w:rPr>
        <w:t xml:space="preserve">post-SEO performance is worse for firms that engage in </w:t>
      </w:r>
      <w:r w:rsidRPr="003A487B">
        <w:rPr>
          <w:rFonts w:ascii="Times New Roman" w:hAnsi="Times New Roman" w:cs="Times New Roman"/>
          <w:sz w:val="24"/>
          <w:szCs w:val="24"/>
        </w:rPr>
        <w:t xml:space="preserve">RAM </w:t>
      </w:r>
      <w:r>
        <w:rPr>
          <w:rFonts w:ascii="Times New Roman" w:hAnsi="Times New Roman" w:cs="Times New Roman"/>
          <w:sz w:val="24"/>
          <w:szCs w:val="24"/>
        </w:rPr>
        <w:t xml:space="preserve">rather </w:t>
      </w:r>
      <w:r w:rsidRPr="003A487B">
        <w:rPr>
          <w:rFonts w:ascii="Times New Roman" w:hAnsi="Times New Roman" w:cs="Times New Roman"/>
          <w:sz w:val="24"/>
          <w:szCs w:val="24"/>
        </w:rPr>
        <w:t>than</w:t>
      </w:r>
      <w:r>
        <w:rPr>
          <w:rFonts w:ascii="Times New Roman" w:hAnsi="Times New Roman" w:cs="Times New Roman"/>
          <w:sz w:val="24"/>
          <w:szCs w:val="24"/>
        </w:rPr>
        <w:t xml:space="preserve"> in</w:t>
      </w:r>
      <w:r w:rsidRPr="003A487B">
        <w:rPr>
          <w:rFonts w:ascii="Times New Roman" w:hAnsi="Times New Roman" w:cs="Times New Roman"/>
          <w:sz w:val="24"/>
          <w:szCs w:val="24"/>
        </w:rPr>
        <w:t xml:space="preserve"> AEM</w:t>
      </w:r>
      <w:r>
        <w:rPr>
          <w:rFonts w:ascii="Times New Roman" w:hAnsi="Times New Roman" w:cs="Times New Roman"/>
          <w:sz w:val="24"/>
          <w:szCs w:val="24"/>
        </w:rPr>
        <w:t>,</w:t>
      </w:r>
      <w:r w:rsidRPr="003A487B">
        <w:rPr>
          <w:rFonts w:ascii="Times New Roman" w:hAnsi="Times New Roman" w:cs="Times New Roman"/>
          <w:sz w:val="24"/>
          <w:szCs w:val="24"/>
        </w:rPr>
        <w:t xml:space="preserve"> and the impact of RAM on average is larger than the impact of AEM. </w:t>
      </w:r>
      <w:r w:rsidRPr="00EB5DF3">
        <w:rPr>
          <w:rFonts w:ascii="Times New Roman" w:hAnsi="Times New Roman" w:cs="Times New Roman"/>
          <w:sz w:val="24"/>
          <w:szCs w:val="24"/>
        </w:rPr>
        <w:t xml:space="preserve">The result is economically significant for </w:t>
      </w:r>
      <w:r w:rsidRPr="003A487B">
        <w:rPr>
          <w:rFonts w:ascii="Times New Roman" w:hAnsi="Times New Roman" w:cs="Times New Roman"/>
          <w:sz w:val="24"/>
          <w:szCs w:val="24"/>
        </w:rPr>
        <w:t>RAM</w:t>
      </w:r>
      <w:r w:rsidRPr="00EB5DF3">
        <w:rPr>
          <w:rFonts w:ascii="Times New Roman" w:hAnsi="Times New Roman" w:cs="Times New Roman"/>
          <w:sz w:val="24"/>
          <w:szCs w:val="24"/>
        </w:rPr>
        <w:t xml:space="preserve"> only, suggesting its importance in explaining post-SEO performance, as the use of </w:t>
      </w:r>
      <w:r w:rsidRPr="003A487B">
        <w:rPr>
          <w:rFonts w:ascii="Times New Roman" w:hAnsi="Times New Roman" w:cs="Times New Roman"/>
          <w:sz w:val="24"/>
          <w:szCs w:val="24"/>
        </w:rPr>
        <w:t>RAM</w:t>
      </w:r>
      <w:r w:rsidRPr="00EB5DF3">
        <w:rPr>
          <w:rFonts w:ascii="Times New Roman" w:hAnsi="Times New Roman" w:cs="Times New Roman"/>
          <w:sz w:val="24"/>
          <w:szCs w:val="24"/>
        </w:rPr>
        <w:t xml:space="preserve"> shows a decline in post-SEO performance by 2.</w:t>
      </w:r>
      <w:r w:rsidRPr="003A487B">
        <w:rPr>
          <w:rFonts w:ascii="Times New Roman" w:hAnsi="Times New Roman" w:cs="Times New Roman"/>
          <w:sz w:val="24"/>
          <w:szCs w:val="24"/>
        </w:rPr>
        <w:t>7</w:t>
      </w:r>
      <w:r w:rsidRPr="00EB5DF3">
        <w:rPr>
          <w:rFonts w:ascii="Times New Roman" w:hAnsi="Times New Roman" w:cs="Times New Roman"/>
          <w:sz w:val="24"/>
          <w:szCs w:val="24"/>
        </w:rPr>
        <w:t xml:space="preserve">%. </w:t>
      </w:r>
      <w:r w:rsidRPr="003A487B">
        <w:rPr>
          <w:rFonts w:ascii="Times New Roman" w:hAnsi="Times New Roman" w:cs="Times New Roman"/>
          <w:sz w:val="24"/>
          <w:szCs w:val="24"/>
        </w:rPr>
        <w:t>Second, w</w:t>
      </w:r>
      <w:r w:rsidRPr="00EB5DF3">
        <w:rPr>
          <w:rFonts w:ascii="Times New Roman" w:hAnsi="Times New Roman" w:cs="Times New Roman"/>
          <w:sz w:val="24"/>
          <w:szCs w:val="24"/>
        </w:rPr>
        <w:t xml:space="preserve">e </w:t>
      </w:r>
      <w:r w:rsidRPr="003A487B">
        <w:rPr>
          <w:rFonts w:ascii="Times New Roman" w:hAnsi="Times New Roman" w:cs="Times New Roman"/>
          <w:sz w:val="24"/>
          <w:szCs w:val="24"/>
        </w:rPr>
        <w:t xml:space="preserve">provide evidence that </w:t>
      </w:r>
      <w:r w:rsidRPr="00EB5DF3">
        <w:rPr>
          <w:rFonts w:ascii="Times New Roman" w:hAnsi="Times New Roman" w:cs="Times New Roman"/>
          <w:sz w:val="24"/>
          <w:szCs w:val="24"/>
        </w:rPr>
        <w:t xml:space="preserve">firms’ joint use of </w:t>
      </w:r>
      <w:r w:rsidRPr="003A487B">
        <w:rPr>
          <w:rFonts w:ascii="Times New Roman" w:hAnsi="Times New Roman" w:cs="Times New Roman"/>
          <w:sz w:val="24"/>
          <w:szCs w:val="24"/>
        </w:rPr>
        <w:t xml:space="preserve">AEM </w:t>
      </w:r>
      <w:r w:rsidRPr="00EB5DF3">
        <w:rPr>
          <w:rFonts w:ascii="Times New Roman" w:hAnsi="Times New Roman" w:cs="Times New Roman"/>
          <w:sz w:val="24"/>
          <w:szCs w:val="24"/>
        </w:rPr>
        <w:t xml:space="preserve">and </w:t>
      </w:r>
      <w:r w:rsidRPr="003A487B">
        <w:rPr>
          <w:rFonts w:ascii="Times New Roman" w:hAnsi="Times New Roman" w:cs="Times New Roman"/>
          <w:sz w:val="24"/>
          <w:szCs w:val="24"/>
        </w:rPr>
        <w:t>RAM</w:t>
      </w:r>
      <w:r w:rsidRPr="00EB5DF3">
        <w:rPr>
          <w:rFonts w:ascii="Times New Roman" w:hAnsi="Times New Roman" w:cs="Times New Roman"/>
          <w:sz w:val="24"/>
          <w:szCs w:val="24"/>
        </w:rPr>
        <w:t xml:space="preserve"> leads to worse post-SEO performance. </w:t>
      </w:r>
      <w:r w:rsidRPr="003A487B">
        <w:rPr>
          <w:rFonts w:ascii="Times New Roman" w:hAnsi="Times New Roman" w:cs="Times New Roman"/>
          <w:sz w:val="24"/>
          <w:szCs w:val="24"/>
        </w:rPr>
        <w:t>Third</w:t>
      </w:r>
      <w:r w:rsidRPr="00EB5DF3">
        <w:rPr>
          <w:rFonts w:ascii="Times New Roman" w:hAnsi="Times New Roman" w:cs="Times New Roman"/>
          <w:sz w:val="24"/>
          <w:szCs w:val="24"/>
        </w:rPr>
        <w:t xml:space="preserve">, we find that </w:t>
      </w:r>
      <w:r w:rsidRPr="003A487B">
        <w:rPr>
          <w:rFonts w:ascii="Times New Roman" w:hAnsi="Times New Roman" w:cs="Times New Roman"/>
          <w:sz w:val="24"/>
          <w:szCs w:val="24"/>
        </w:rPr>
        <w:t xml:space="preserve">as </w:t>
      </w:r>
      <w:r>
        <w:rPr>
          <w:rFonts w:ascii="Times New Roman" w:hAnsi="Times New Roman" w:cs="Times New Roman"/>
          <w:sz w:val="24"/>
          <w:szCs w:val="24"/>
        </w:rPr>
        <w:t xml:space="preserve">the </w:t>
      </w:r>
      <w:r w:rsidRPr="003A487B">
        <w:rPr>
          <w:rFonts w:ascii="Times New Roman" w:hAnsi="Times New Roman" w:cs="Times New Roman"/>
          <w:sz w:val="24"/>
          <w:szCs w:val="24"/>
        </w:rPr>
        <w:t xml:space="preserve">legal regime strengthens, the impact of earnings management reduces. However, the decline in post-SEO performance </w:t>
      </w:r>
      <w:r w:rsidRPr="003A487B">
        <w:rPr>
          <w:rFonts w:ascii="Times New Roman" w:hAnsi="Times New Roman" w:cs="Times New Roman"/>
          <w:sz w:val="24"/>
          <w:szCs w:val="24"/>
        </w:rPr>
        <w:lastRenderedPageBreak/>
        <w:t>occurs only when firms engage in RAM as the legal regime strengthens.</w:t>
      </w:r>
      <w:r>
        <w:rPr>
          <w:rFonts w:ascii="Times New Roman" w:hAnsi="Times New Roman" w:cs="Times New Roman"/>
          <w:sz w:val="24"/>
          <w:szCs w:val="24"/>
        </w:rPr>
        <w:t xml:space="preserve"> The impact of AEM on post-SEO performance becomes insignificant in a strong legal regime.</w:t>
      </w:r>
      <w:r w:rsidRPr="003A487B">
        <w:rPr>
          <w:rFonts w:ascii="Times New Roman" w:hAnsi="Times New Roman" w:cs="Times New Roman"/>
          <w:sz w:val="24"/>
          <w:szCs w:val="24"/>
        </w:rPr>
        <w:t xml:space="preserve"> Our results are robust to the use of alternative measures of post-SEO performance</w:t>
      </w:r>
      <w:r w:rsidR="00045EDF">
        <w:rPr>
          <w:rFonts w:ascii="Times New Roman" w:hAnsi="Times New Roman" w:cs="Times New Roman"/>
          <w:sz w:val="24"/>
          <w:szCs w:val="24"/>
        </w:rPr>
        <w:t>,</w:t>
      </w:r>
      <w:r w:rsidRPr="003A487B">
        <w:rPr>
          <w:rFonts w:ascii="Times New Roman" w:hAnsi="Times New Roman" w:cs="Times New Roman"/>
          <w:sz w:val="24"/>
          <w:szCs w:val="24"/>
        </w:rPr>
        <w:t xml:space="preserve"> earning</w:t>
      </w:r>
      <w:r>
        <w:rPr>
          <w:rFonts w:ascii="Times New Roman" w:hAnsi="Times New Roman" w:cs="Times New Roman"/>
          <w:sz w:val="24"/>
          <w:szCs w:val="24"/>
        </w:rPr>
        <w:t>s</w:t>
      </w:r>
      <w:r w:rsidRPr="003A487B">
        <w:rPr>
          <w:rFonts w:ascii="Times New Roman" w:hAnsi="Times New Roman" w:cs="Times New Roman"/>
          <w:sz w:val="24"/>
          <w:szCs w:val="24"/>
        </w:rPr>
        <w:t xml:space="preserve"> management</w:t>
      </w:r>
      <w:r w:rsidR="00045EDF">
        <w:rPr>
          <w:rFonts w:ascii="Times New Roman" w:hAnsi="Times New Roman" w:cs="Times New Roman"/>
          <w:sz w:val="24"/>
          <w:szCs w:val="24"/>
        </w:rPr>
        <w:t>, legal regimes</w:t>
      </w:r>
      <w:r w:rsidRPr="003A487B">
        <w:rPr>
          <w:rFonts w:ascii="Times New Roman" w:hAnsi="Times New Roman" w:cs="Times New Roman"/>
          <w:sz w:val="24"/>
          <w:szCs w:val="24"/>
        </w:rPr>
        <w:t xml:space="preserve"> and different model specification</w:t>
      </w:r>
      <w:r w:rsidR="00144D45">
        <w:rPr>
          <w:rFonts w:ascii="Times New Roman" w:hAnsi="Times New Roman" w:cs="Times New Roman"/>
          <w:sz w:val="24"/>
          <w:szCs w:val="24"/>
        </w:rPr>
        <w:t>s</w:t>
      </w:r>
      <w:r w:rsidRPr="003A487B">
        <w:rPr>
          <w:rFonts w:ascii="Times New Roman" w:hAnsi="Times New Roman" w:cs="Times New Roman"/>
          <w:sz w:val="24"/>
          <w:szCs w:val="24"/>
        </w:rPr>
        <w:t>.</w:t>
      </w:r>
      <w:r>
        <w:rPr>
          <w:rFonts w:ascii="Times New Roman" w:hAnsi="Times New Roman" w:cs="Times New Roman"/>
          <w:sz w:val="24"/>
          <w:szCs w:val="24"/>
        </w:rPr>
        <w:t xml:space="preserve"> Our results are consistent with prior studies, that both earnings management strategies persist in a weak legal regime. However, stricter legal regimes restrict the opportunity for AEM and compel SEO firms to use more RAM. This calls for the design of effective institutional systems that monitor excessive earnings management, particularly RAM, in weak legal regimes.</w:t>
      </w:r>
    </w:p>
    <w:p w14:paraId="41AFFEE4" w14:textId="34B62BFF" w:rsidR="008B0EE7" w:rsidRDefault="008B0EE7" w:rsidP="008B0EE7">
      <w:pPr>
        <w:spacing w:after="0" w:line="480" w:lineRule="auto"/>
        <w:ind w:firstLine="284"/>
        <w:jc w:val="both"/>
        <w:rPr>
          <w:rFonts w:ascii="Times New Roman" w:hAnsi="Times New Roman" w:cs="Times New Roman"/>
          <w:sz w:val="24"/>
          <w:szCs w:val="24"/>
        </w:rPr>
      </w:pPr>
      <w:r w:rsidRPr="00CD5568">
        <w:rPr>
          <w:rFonts w:ascii="Times New Roman" w:hAnsi="Times New Roman" w:cs="Times New Roman"/>
          <w:sz w:val="24"/>
          <w:szCs w:val="24"/>
        </w:rPr>
        <w:t xml:space="preserve">The remainder of the paper is organized as follows. Section 2 reviews the literature and develops our hypotheses. Section 3 describes our research design and Section 4 presents our empirical results. Section 5 </w:t>
      </w:r>
      <w:r>
        <w:rPr>
          <w:rFonts w:ascii="Times New Roman" w:hAnsi="Times New Roman" w:cs="Times New Roman"/>
          <w:sz w:val="24"/>
          <w:szCs w:val="24"/>
        </w:rPr>
        <w:t xml:space="preserve">reports the result </w:t>
      </w:r>
      <w:r w:rsidR="00F7326C">
        <w:rPr>
          <w:rFonts w:ascii="Times New Roman" w:hAnsi="Times New Roman" w:cs="Times New Roman"/>
          <w:sz w:val="24"/>
          <w:szCs w:val="24"/>
        </w:rPr>
        <w:t xml:space="preserve">of </w:t>
      </w:r>
      <w:r>
        <w:rPr>
          <w:rFonts w:ascii="Times New Roman" w:hAnsi="Times New Roman" w:cs="Times New Roman"/>
          <w:sz w:val="24"/>
          <w:szCs w:val="24"/>
        </w:rPr>
        <w:t xml:space="preserve">the additional analyses and Section </w:t>
      </w:r>
      <w:r w:rsidR="0042691B">
        <w:rPr>
          <w:rFonts w:ascii="Times New Roman" w:hAnsi="Times New Roman" w:cs="Times New Roman"/>
          <w:sz w:val="24"/>
          <w:szCs w:val="24"/>
        </w:rPr>
        <w:t>6</w:t>
      </w:r>
      <w:r>
        <w:rPr>
          <w:rFonts w:ascii="Times New Roman" w:hAnsi="Times New Roman" w:cs="Times New Roman"/>
          <w:sz w:val="24"/>
          <w:szCs w:val="24"/>
        </w:rPr>
        <w:t xml:space="preserve"> </w:t>
      </w:r>
      <w:r w:rsidRPr="00CD5568">
        <w:rPr>
          <w:rFonts w:ascii="Times New Roman" w:hAnsi="Times New Roman" w:cs="Times New Roman"/>
          <w:sz w:val="24"/>
          <w:szCs w:val="24"/>
        </w:rPr>
        <w:t>concludes the paper.</w:t>
      </w:r>
    </w:p>
    <w:p w14:paraId="17D24892" w14:textId="26B234DF" w:rsidR="008B0EE7" w:rsidRPr="00CD5568" w:rsidRDefault="008B0EE7" w:rsidP="008B0EE7">
      <w:pPr>
        <w:spacing w:after="0" w:line="480" w:lineRule="auto"/>
        <w:jc w:val="both"/>
        <w:rPr>
          <w:rFonts w:ascii="Times New Roman" w:hAnsi="Times New Roman" w:cs="Times New Roman"/>
          <w:b/>
          <w:sz w:val="24"/>
          <w:szCs w:val="24"/>
        </w:rPr>
      </w:pPr>
      <w:r w:rsidRPr="00CD5568">
        <w:rPr>
          <w:rFonts w:ascii="Times New Roman" w:hAnsi="Times New Roman" w:cs="Times New Roman"/>
          <w:b/>
          <w:sz w:val="24"/>
          <w:szCs w:val="24"/>
        </w:rPr>
        <w:t xml:space="preserve">2. </w:t>
      </w:r>
      <w:r>
        <w:rPr>
          <w:rFonts w:ascii="Times New Roman" w:hAnsi="Times New Roman" w:cs="Times New Roman"/>
          <w:b/>
          <w:sz w:val="24"/>
          <w:szCs w:val="24"/>
        </w:rPr>
        <w:t xml:space="preserve">Prior </w:t>
      </w:r>
      <w:r w:rsidR="00E5018D">
        <w:rPr>
          <w:rFonts w:ascii="Times New Roman" w:hAnsi="Times New Roman" w:cs="Times New Roman"/>
          <w:b/>
          <w:sz w:val="24"/>
          <w:szCs w:val="24"/>
        </w:rPr>
        <w:t>l</w:t>
      </w:r>
      <w:r w:rsidRPr="00CD5568">
        <w:rPr>
          <w:rFonts w:ascii="Times New Roman" w:hAnsi="Times New Roman" w:cs="Times New Roman"/>
          <w:b/>
          <w:sz w:val="24"/>
          <w:szCs w:val="24"/>
        </w:rPr>
        <w:t xml:space="preserve">iterature and </w:t>
      </w:r>
      <w:r w:rsidR="00555E5C">
        <w:rPr>
          <w:rFonts w:ascii="Times New Roman" w:hAnsi="Times New Roman" w:cs="Times New Roman"/>
          <w:b/>
          <w:sz w:val="24"/>
          <w:szCs w:val="24"/>
        </w:rPr>
        <w:t>h</w:t>
      </w:r>
      <w:r w:rsidRPr="00CD5568">
        <w:rPr>
          <w:rFonts w:ascii="Times New Roman" w:hAnsi="Times New Roman" w:cs="Times New Roman"/>
          <w:b/>
          <w:sz w:val="24"/>
          <w:szCs w:val="24"/>
        </w:rPr>
        <w:t xml:space="preserve">ypotheses </w:t>
      </w:r>
      <w:r w:rsidR="00555E5C">
        <w:rPr>
          <w:rFonts w:ascii="Times New Roman" w:hAnsi="Times New Roman" w:cs="Times New Roman"/>
          <w:b/>
          <w:sz w:val="24"/>
          <w:szCs w:val="24"/>
        </w:rPr>
        <w:t>d</w:t>
      </w:r>
      <w:r w:rsidRPr="00CD5568">
        <w:rPr>
          <w:rFonts w:ascii="Times New Roman" w:hAnsi="Times New Roman" w:cs="Times New Roman"/>
          <w:b/>
          <w:sz w:val="24"/>
          <w:szCs w:val="24"/>
        </w:rPr>
        <w:t>evelopment</w:t>
      </w:r>
    </w:p>
    <w:p w14:paraId="7936D769" w14:textId="34910605" w:rsidR="008B0EE7" w:rsidRPr="00CD5568" w:rsidRDefault="008B0EE7" w:rsidP="008B0EE7">
      <w:pPr>
        <w:spacing w:after="0" w:line="480" w:lineRule="auto"/>
        <w:jc w:val="both"/>
        <w:rPr>
          <w:rFonts w:ascii="Times New Roman" w:hAnsi="Times New Roman" w:cs="Times New Roman"/>
          <w:sz w:val="24"/>
          <w:szCs w:val="24"/>
        </w:rPr>
      </w:pPr>
      <w:r w:rsidRPr="00CD5568">
        <w:rPr>
          <w:rFonts w:ascii="Times New Roman" w:hAnsi="Times New Roman" w:cs="Times New Roman"/>
          <w:sz w:val="24"/>
          <w:szCs w:val="24"/>
        </w:rPr>
        <w:t xml:space="preserve">Cohen and Zarowin (2010) investigate </w:t>
      </w:r>
      <w:r w:rsidR="009B6F09">
        <w:rPr>
          <w:rFonts w:ascii="Times New Roman" w:hAnsi="Times New Roman" w:cs="Times New Roman"/>
          <w:sz w:val="24"/>
          <w:szCs w:val="24"/>
        </w:rPr>
        <w:t>AEM</w:t>
      </w:r>
      <w:r w:rsidRPr="00CD5568">
        <w:rPr>
          <w:rFonts w:ascii="Times New Roman" w:hAnsi="Times New Roman" w:cs="Times New Roman"/>
          <w:sz w:val="24"/>
          <w:szCs w:val="24"/>
        </w:rPr>
        <w:t xml:space="preserve"> and </w:t>
      </w:r>
      <w:r w:rsidR="00566D5C">
        <w:rPr>
          <w:rFonts w:ascii="Times New Roman" w:hAnsi="Times New Roman" w:cs="Times New Roman"/>
          <w:sz w:val="24"/>
          <w:szCs w:val="24"/>
        </w:rPr>
        <w:t>RAM</w:t>
      </w:r>
      <w:r w:rsidRPr="00CD5568">
        <w:rPr>
          <w:rFonts w:ascii="Times New Roman" w:hAnsi="Times New Roman" w:cs="Times New Roman"/>
          <w:sz w:val="24"/>
          <w:szCs w:val="24"/>
        </w:rPr>
        <w:t xml:space="preserve"> around SEOs in the U.S. They find that firms engage in both </w:t>
      </w:r>
      <w:r w:rsidR="00566D5C">
        <w:rPr>
          <w:rFonts w:ascii="Times New Roman" w:hAnsi="Times New Roman" w:cs="Times New Roman"/>
          <w:sz w:val="24"/>
          <w:szCs w:val="24"/>
        </w:rPr>
        <w:t>AEM</w:t>
      </w:r>
      <w:r w:rsidRPr="00CD5568">
        <w:rPr>
          <w:rFonts w:ascii="Times New Roman" w:hAnsi="Times New Roman" w:cs="Times New Roman"/>
          <w:sz w:val="24"/>
          <w:szCs w:val="24"/>
        </w:rPr>
        <w:t xml:space="preserve"> and </w:t>
      </w:r>
      <w:r w:rsidR="00566D5C">
        <w:rPr>
          <w:rFonts w:ascii="Times New Roman" w:hAnsi="Times New Roman" w:cs="Times New Roman"/>
          <w:sz w:val="24"/>
          <w:szCs w:val="24"/>
        </w:rPr>
        <w:t>RAM</w:t>
      </w:r>
      <w:r w:rsidRPr="00CD5568">
        <w:rPr>
          <w:rFonts w:ascii="Times New Roman" w:hAnsi="Times New Roman" w:cs="Times New Roman"/>
          <w:sz w:val="24"/>
          <w:szCs w:val="24"/>
        </w:rPr>
        <w:t xml:space="preserve"> in the issuing year, but that post-SEO underperformance is more severe when managers engage in </w:t>
      </w:r>
      <w:r w:rsidR="005E7FBC">
        <w:rPr>
          <w:rFonts w:ascii="Times New Roman" w:hAnsi="Times New Roman" w:cs="Times New Roman"/>
          <w:sz w:val="24"/>
          <w:szCs w:val="24"/>
        </w:rPr>
        <w:t>RAM</w:t>
      </w:r>
      <w:r w:rsidRPr="00CD5568">
        <w:rPr>
          <w:rFonts w:ascii="Times New Roman" w:hAnsi="Times New Roman" w:cs="Times New Roman"/>
          <w:sz w:val="24"/>
          <w:szCs w:val="24"/>
        </w:rPr>
        <w:t xml:space="preserve"> than when they carry out </w:t>
      </w:r>
      <w:r w:rsidR="005E7FBC">
        <w:rPr>
          <w:rFonts w:ascii="Times New Roman" w:hAnsi="Times New Roman" w:cs="Times New Roman"/>
          <w:sz w:val="24"/>
          <w:szCs w:val="24"/>
        </w:rPr>
        <w:t>AEM</w:t>
      </w:r>
      <w:r w:rsidRPr="00CD5568">
        <w:rPr>
          <w:rFonts w:ascii="Times New Roman" w:hAnsi="Times New Roman" w:cs="Times New Roman"/>
          <w:sz w:val="24"/>
          <w:szCs w:val="24"/>
        </w:rPr>
        <w:t xml:space="preserve">. Kothari et al. (2016) explore the overvaluation of SEOs </w:t>
      </w:r>
      <w:r w:rsidR="00DA313D">
        <w:rPr>
          <w:rFonts w:ascii="Times New Roman" w:hAnsi="Times New Roman" w:cs="Times New Roman"/>
          <w:sz w:val="24"/>
          <w:szCs w:val="24"/>
        </w:rPr>
        <w:t>in</w:t>
      </w:r>
      <w:r w:rsidRPr="00CD5568">
        <w:rPr>
          <w:rFonts w:ascii="Times New Roman" w:hAnsi="Times New Roman" w:cs="Times New Roman"/>
          <w:sz w:val="24"/>
          <w:szCs w:val="24"/>
        </w:rPr>
        <w:t xml:space="preserve"> the U.S </w:t>
      </w:r>
      <w:r w:rsidR="00014A4E">
        <w:rPr>
          <w:rFonts w:ascii="Times New Roman" w:hAnsi="Times New Roman" w:cs="Times New Roman"/>
          <w:sz w:val="24"/>
          <w:szCs w:val="24"/>
        </w:rPr>
        <w:t>and</w:t>
      </w:r>
      <w:r w:rsidRPr="00CD5568">
        <w:rPr>
          <w:rFonts w:ascii="Times New Roman" w:hAnsi="Times New Roman" w:cs="Times New Roman"/>
          <w:sz w:val="24"/>
          <w:szCs w:val="24"/>
        </w:rPr>
        <w:t xml:space="preserve"> find that </w:t>
      </w:r>
      <w:r w:rsidR="00014A4E">
        <w:rPr>
          <w:rFonts w:ascii="Times New Roman" w:hAnsi="Times New Roman" w:cs="Times New Roman"/>
          <w:sz w:val="24"/>
          <w:szCs w:val="24"/>
        </w:rPr>
        <w:t>both AEM</w:t>
      </w:r>
      <w:r w:rsidRPr="00CD5568">
        <w:rPr>
          <w:rFonts w:ascii="Times New Roman" w:hAnsi="Times New Roman" w:cs="Times New Roman"/>
          <w:sz w:val="24"/>
          <w:szCs w:val="24"/>
        </w:rPr>
        <w:t xml:space="preserve"> and </w:t>
      </w:r>
      <w:r w:rsidR="00014A4E">
        <w:rPr>
          <w:rFonts w:ascii="Times New Roman" w:hAnsi="Times New Roman" w:cs="Times New Roman"/>
          <w:sz w:val="24"/>
          <w:szCs w:val="24"/>
        </w:rPr>
        <w:t>RAM</w:t>
      </w:r>
      <w:r w:rsidRPr="00CD5568">
        <w:rPr>
          <w:rFonts w:ascii="Times New Roman" w:hAnsi="Times New Roman" w:cs="Times New Roman"/>
          <w:sz w:val="24"/>
          <w:szCs w:val="24"/>
        </w:rPr>
        <w:t xml:space="preserve"> are associated with SEO overvaluation, reinforcing the results of Cohen and Zarowin (2010). Kothari et al. (2016) also find that post-SEO return underperformance is driven more by </w:t>
      </w:r>
      <w:r w:rsidR="000A4251">
        <w:rPr>
          <w:rFonts w:ascii="Times New Roman" w:hAnsi="Times New Roman" w:cs="Times New Roman"/>
          <w:sz w:val="24"/>
          <w:szCs w:val="24"/>
        </w:rPr>
        <w:t>RAM</w:t>
      </w:r>
      <w:r w:rsidRPr="00CD5568">
        <w:rPr>
          <w:rFonts w:ascii="Times New Roman" w:hAnsi="Times New Roman" w:cs="Times New Roman"/>
          <w:sz w:val="24"/>
          <w:szCs w:val="24"/>
        </w:rPr>
        <w:t xml:space="preserve"> than by </w:t>
      </w:r>
      <w:r w:rsidR="000A4251">
        <w:rPr>
          <w:rFonts w:ascii="Times New Roman" w:hAnsi="Times New Roman" w:cs="Times New Roman"/>
          <w:sz w:val="24"/>
          <w:szCs w:val="24"/>
        </w:rPr>
        <w:t>AEM</w:t>
      </w:r>
      <w:r w:rsidRPr="00CD5568">
        <w:rPr>
          <w:rFonts w:ascii="Times New Roman" w:hAnsi="Times New Roman" w:cs="Times New Roman"/>
          <w:sz w:val="24"/>
          <w:szCs w:val="24"/>
        </w:rPr>
        <w:t>. They conclude that</w:t>
      </w:r>
      <w:r>
        <w:rPr>
          <w:rFonts w:ascii="Times New Roman" w:hAnsi="Times New Roman" w:cs="Times New Roman"/>
          <w:sz w:val="24"/>
          <w:szCs w:val="24"/>
        </w:rPr>
        <w:t>,</w:t>
      </w:r>
      <w:r w:rsidRPr="00CD5568">
        <w:rPr>
          <w:rFonts w:ascii="Times New Roman" w:hAnsi="Times New Roman" w:cs="Times New Roman"/>
          <w:sz w:val="24"/>
          <w:szCs w:val="24"/>
        </w:rPr>
        <w:t xml:space="preserve"> despite the costly nature of </w:t>
      </w:r>
      <w:r w:rsidR="00C964F0">
        <w:rPr>
          <w:rFonts w:ascii="Times New Roman" w:hAnsi="Times New Roman" w:cs="Times New Roman"/>
          <w:sz w:val="24"/>
          <w:szCs w:val="24"/>
        </w:rPr>
        <w:t>RAM</w:t>
      </w:r>
      <w:r w:rsidRPr="00CD5568">
        <w:rPr>
          <w:rFonts w:ascii="Times New Roman" w:hAnsi="Times New Roman" w:cs="Times New Roman"/>
          <w:sz w:val="24"/>
          <w:szCs w:val="24"/>
        </w:rPr>
        <w:t xml:space="preserve">, managers are more inclined to use </w:t>
      </w:r>
      <w:r w:rsidR="00C964F0">
        <w:rPr>
          <w:rFonts w:ascii="Times New Roman" w:hAnsi="Times New Roman" w:cs="Times New Roman"/>
          <w:sz w:val="24"/>
          <w:szCs w:val="24"/>
        </w:rPr>
        <w:t>RAM</w:t>
      </w:r>
      <w:r w:rsidRPr="00CD5568">
        <w:rPr>
          <w:rFonts w:ascii="Times New Roman" w:hAnsi="Times New Roman" w:cs="Times New Roman"/>
          <w:sz w:val="24"/>
          <w:szCs w:val="24"/>
        </w:rPr>
        <w:t xml:space="preserve"> </w:t>
      </w:r>
      <w:r w:rsidR="00650CF9">
        <w:rPr>
          <w:rFonts w:ascii="Times New Roman" w:hAnsi="Times New Roman" w:cs="Times New Roman"/>
          <w:sz w:val="24"/>
          <w:szCs w:val="24"/>
        </w:rPr>
        <w:t>than</w:t>
      </w:r>
      <w:r w:rsidRPr="00CD5568">
        <w:rPr>
          <w:rFonts w:ascii="Times New Roman" w:hAnsi="Times New Roman" w:cs="Times New Roman"/>
          <w:sz w:val="24"/>
          <w:szCs w:val="24"/>
        </w:rPr>
        <w:t xml:space="preserve"> </w:t>
      </w:r>
      <w:r w:rsidR="00C964F0">
        <w:rPr>
          <w:rFonts w:ascii="Times New Roman" w:hAnsi="Times New Roman" w:cs="Times New Roman"/>
          <w:sz w:val="24"/>
          <w:szCs w:val="24"/>
        </w:rPr>
        <w:t>AEM</w:t>
      </w:r>
      <w:r w:rsidRPr="00CD5568">
        <w:rPr>
          <w:rFonts w:ascii="Times New Roman" w:hAnsi="Times New Roman" w:cs="Times New Roman"/>
          <w:sz w:val="24"/>
          <w:szCs w:val="24"/>
        </w:rPr>
        <w:t xml:space="preserve"> prior to SEOs</w:t>
      </w:r>
      <w:r>
        <w:rPr>
          <w:rFonts w:ascii="Times New Roman" w:hAnsi="Times New Roman" w:cs="Times New Roman"/>
          <w:sz w:val="24"/>
          <w:szCs w:val="24"/>
        </w:rPr>
        <w:t>,</w:t>
      </w:r>
      <w:r w:rsidRPr="00CD5568">
        <w:rPr>
          <w:rFonts w:ascii="Times New Roman" w:hAnsi="Times New Roman" w:cs="Times New Roman"/>
          <w:sz w:val="24"/>
          <w:szCs w:val="24"/>
        </w:rPr>
        <w:t xml:space="preserve"> because of the difficulty in detecting real activities manipulation.</w:t>
      </w:r>
    </w:p>
    <w:p w14:paraId="47F2D732" w14:textId="28FDFD7F" w:rsidR="008B0EE7" w:rsidRPr="00CD5568" w:rsidRDefault="008B0EE7" w:rsidP="008B0EE7">
      <w:pPr>
        <w:spacing w:after="0" w:line="480" w:lineRule="auto"/>
        <w:ind w:firstLine="284"/>
        <w:jc w:val="both"/>
        <w:rPr>
          <w:rFonts w:ascii="Times New Roman" w:hAnsi="Times New Roman" w:cs="Times New Roman"/>
          <w:sz w:val="24"/>
          <w:szCs w:val="24"/>
        </w:rPr>
      </w:pPr>
      <w:r w:rsidRPr="00CD5568">
        <w:rPr>
          <w:rFonts w:ascii="Times New Roman" w:hAnsi="Times New Roman" w:cs="Times New Roman"/>
          <w:sz w:val="24"/>
          <w:szCs w:val="24"/>
        </w:rPr>
        <w:t xml:space="preserve">Zang (2012) explores the trade-off between </w:t>
      </w:r>
      <w:r w:rsidR="00650CF9">
        <w:rPr>
          <w:rFonts w:ascii="Times New Roman" w:hAnsi="Times New Roman" w:cs="Times New Roman"/>
          <w:sz w:val="24"/>
          <w:szCs w:val="24"/>
        </w:rPr>
        <w:t>AEM</w:t>
      </w:r>
      <w:r w:rsidRPr="00CD5568">
        <w:rPr>
          <w:rFonts w:ascii="Times New Roman" w:hAnsi="Times New Roman" w:cs="Times New Roman"/>
          <w:sz w:val="24"/>
          <w:szCs w:val="24"/>
        </w:rPr>
        <w:t xml:space="preserve"> and </w:t>
      </w:r>
      <w:r w:rsidR="00650CF9">
        <w:rPr>
          <w:rFonts w:ascii="Times New Roman" w:hAnsi="Times New Roman" w:cs="Times New Roman"/>
          <w:sz w:val="24"/>
          <w:szCs w:val="24"/>
        </w:rPr>
        <w:t>RAM</w:t>
      </w:r>
      <w:r w:rsidRPr="00CD5568">
        <w:rPr>
          <w:rFonts w:ascii="Times New Roman" w:hAnsi="Times New Roman" w:cs="Times New Roman"/>
          <w:sz w:val="24"/>
          <w:szCs w:val="24"/>
        </w:rPr>
        <w:t xml:space="preserve"> and finds that firms use either </w:t>
      </w:r>
      <w:r w:rsidR="009D02E2">
        <w:rPr>
          <w:rFonts w:ascii="Times New Roman" w:hAnsi="Times New Roman" w:cs="Times New Roman"/>
          <w:sz w:val="24"/>
          <w:szCs w:val="24"/>
        </w:rPr>
        <w:t>AEM</w:t>
      </w:r>
      <w:r w:rsidRPr="00CD5568">
        <w:rPr>
          <w:rFonts w:ascii="Times New Roman" w:hAnsi="Times New Roman" w:cs="Times New Roman"/>
          <w:sz w:val="24"/>
          <w:szCs w:val="24"/>
        </w:rPr>
        <w:t xml:space="preserve"> or </w:t>
      </w:r>
      <w:r w:rsidR="009D02E2">
        <w:rPr>
          <w:rFonts w:ascii="Times New Roman" w:hAnsi="Times New Roman" w:cs="Times New Roman"/>
          <w:sz w:val="24"/>
          <w:szCs w:val="24"/>
        </w:rPr>
        <w:t>RAM</w:t>
      </w:r>
      <w:r w:rsidRPr="00CD5568">
        <w:rPr>
          <w:rFonts w:ascii="Times New Roman" w:hAnsi="Times New Roman" w:cs="Times New Roman"/>
          <w:sz w:val="24"/>
          <w:szCs w:val="24"/>
        </w:rPr>
        <w:t xml:space="preserve"> depending on the relative cost of each earnings management strategy. Firms manipulate real activities less when they are not as competitive, when they are financially </w:t>
      </w:r>
      <w:r w:rsidRPr="00CD5568">
        <w:rPr>
          <w:rFonts w:ascii="Times New Roman" w:hAnsi="Times New Roman" w:cs="Times New Roman"/>
          <w:sz w:val="24"/>
          <w:szCs w:val="24"/>
        </w:rPr>
        <w:lastRenderedPageBreak/>
        <w:t xml:space="preserve">unstable and when they face higher tax charges. Zang (2012) also finds that </w:t>
      </w:r>
      <w:r w:rsidR="004F0D64">
        <w:rPr>
          <w:rFonts w:ascii="Times New Roman" w:hAnsi="Times New Roman" w:cs="Times New Roman"/>
          <w:sz w:val="24"/>
          <w:szCs w:val="24"/>
        </w:rPr>
        <w:t>RAM</w:t>
      </w:r>
      <w:r w:rsidRPr="00CD5568">
        <w:rPr>
          <w:rFonts w:ascii="Times New Roman" w:hAnsi="Times New Roman" w:cs="Times New Roman"/>
          <w:sz w:val="24"/>
          <w:szCs w:val="24"/>
        </w:rPr>
        <w:t xml:space="preserve"> precedes </w:t>
      </w:r>
      <w:r w:rsidR="004F0D64">
        <w:rPr>
          <w:rFonts w:ascii="Times New Roman" w:hAnsi="Times New Roman" w:cs="Times New Roman"/>
          <w:sz w:val="24"/>
          <w:szCs w:val="24"/>
        </w:rPr>
        <w:t>AEM</w:t>
      </w:r>
      <w:r w:rsidRPr="00CD5568">
        <w:rPr>
          <w:rFonts w:ascii="Times New Roman" w:hAnsi="Times New Roman" w:cs="Times New Roman"/>
          <w:sz w:val="24"/>
          <w:szCs w:val="24"/>
        </w:rPr>
        <w:t xml:space="preserve"> as </w:t>
      </w:r>
      <w:r w:rsidR="004C2F60">
        <w:rPr>
          <w:rFonts w:ascii="Times New Roman" w:hAnsi="Times New Roman" w:cs="Times New Roman"/>
          <w:sz w:val="24"/>
          <w:szCs w:val="24"/>
        </w:rPr>
        <w:t>RAM</w:t>
      </w:r>
      <w:r w:rsidRPr="00CD5568">
        <w:rPr>
          <w:rFonts w:ascii="Times New Roman" w:hAnsi="Times New Roman" w:cs="Times New Roman"/>
          <w:sz w:val="24"/>
          <w:szCs w:val="24"/>
        </w:rPr>
        <w:t xml:space="preserve"> cannot be applied </w:t>
      </w:r>
      <w:r w:rsidR="0018359B">
        <w:rPr>
          <w:rFonts w:ascii="Times New Roman" w:hAnsi="Times New Roman" w:cs="Times New Roman"/>
          <w:sz w:val="24"/>
          <w:szCs w:val="24"/>
        </w:rPr>
        <w:t>near</w:t>
      </w:r>
      <w:r w:rsidR="0018359B" w:rsidRPr="00CD5568">
        <w:rPr>
          <w:rFonts w:ascii="Times New Roman" w:hAnsi="Times New Roman" w:cs="Times New Roman"/>
          <w:sz w:val="24"/>
          <w:szCs w:val="24"/>
        </w:rPr>
        <w:t xml:space="preserve"> </w:t>
      </w:r>
      <w:r w:rsidRPr="00CD5568">
        <w:rPr>
          <w:rFonts w:ascii="Times New Roman" w:hAnsi="Times New Roman" w:cs="Times New Roman"/>
          <w:sz w:val="24"/>
          <w:szCs w:val="24"/>
        </w:rPr>
        <w:t xml:space="preserve">or after the end of the year. Thus, managers manage earnings through </w:t>
      </w:r>
      <w:r w:rsidR="0018359B">
        <w:rPr>
          <w:rFonts w:ascii="Times New Roman" w:hAnsi="Times New Roman" w:cs="Times New Roman"/>
          <w:sz w:val="24"/>
          <w:szCs w:val="24"/>
        </w:rPr>
        <w:t>RAM</w:t>
      </w:r>
      <w:r w:rsidRPr="00CD5568">
        <w:rPr>
          <w:rFonts w:ascii="Times New Roman" w:hAnsi="Times New Roman" w:cs="Times New Roman"/>
          <w:sz w:val="24"/>
          <w:szCs w:val="24"/>
        </w:rPr>
        <w:t xml:space="preserve"> rather than through </w:t>
      </w:r>
      <w:r w:rsidR="0018359B">
        <w:rPr>
          <w:rFonts w:ascii="Times New Roman" w:hAnsi="Times New Roman" w:cs="Times New Roman"/>
          <w:sz w:val="24"/>
          <w:szCs w:val="24"/>
        </w:rPr>
        <w:t>AEM</w:t>
      </w:r>
      <w:r w:rsidRPr="00CD5568">
        <w:rPr>
          <w:rFonts w:ascii="Times New Roman" w:hAnsi="Times New Roman" w:cs="Times New Roman"/>
          <w:sz w:val="24"/>
          <w:szCs w:val="24"/>
        </w:rPr>
        <w:t xml:space="preserve"> to meet earnings thresholds. It is also possible that </w:t>
      </w:r>
      <w:r w:rsidR="003178D3">
        <w:rPr>
          <w:rFonts w:ascii="Times New Roman" w:hAnsi="Times New Roman" w:cs="Times New Roman"/>
          <w:sz w:val="24"/>
          <w:szCs w:val="24"/>
        </w:rPr>
        <w:t>AEM</w:t>
      </w:r>
      <w:r w:rsidRPr="00CD5568">
        <w:rPr>
          <w:rFonts w:ascii="Times New Roman" w:hAnsi="Times New Roman" w:cs="Times New Roman"/>
          <w:sz w:val="24"/>
          <w:szCs w:val="24"/>
        </w:rPr>
        <w:t xml:space="preserve"> is less costly and more flexible.</w:t>
      </w:r>
    </w:p>
    <w:p w14:paraId="4A368356" w14:textId="791A5CB5" w:rsidR="008B0EE7"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As an extension to the studies on earnings management and firm performance, we first examine the relative magnitude of AEM and RAM. Even if both earnings management strategies lead to a decline in performance, the magnitude of the decrease may differ. There are two contrasting predictions on the relative impact of AEM and RAM. </w:t>
      </w:r>
      <w:r w:rsidRPr="00CD5568">
        <w:rPr>
          <w:rFonts w:ascii="Times New Roman" w:hAnsi="Times New Roman" w:cs="Times New Roman"/>
          <w:sz w:val="24"/>
          <w:szCs w:val="24"/>
        </w:rPr>
        <w:t>P</w:t>
      </w:r>
      <w:r>
        <w:rPr>
          <w:rFonts w:ascii="Times New Roman" w:hAnsi="Times New Roman" w:cs="Times New Roman"/>
          <w:sz w:val="24"/>
          <w:szCs w:val="24"/>
        </w:rPr>
        <w:t>rior</w:t>
      </w:r>
      <w:r w:rsidRPr="00CD5568">
        <w:rPr>
          <w:rFonts w:ascii="Times New Roman" w:hAnsi="Times New Roman" w:cs="Times New Roman"/>
          <w:sz w:val="24"/>
          <w:szCs w:val="24"/>
        </w:rPr>
        <w:t xml:space="preserve"> research reveals a growing preference </w:t>
      </w:r>
      <w:r w:rsidR="006E0567">
        <w:rPr>
          <w:rFonts w:ascii="Times New Roman" w:hAnsi="Times New Roman" w:cs="Times New Roman"/>
          <w:sz w:val="24"/>
          <w:szCs w:val="24"/>
        </w:rPr>
        <w:t xml:space="preserve">by firms </w:t>
      </w:r>
      <w:r w:rsidRPr="00CD5568">
        <w:rPr>
          <w:rFonts w:ascii="Times New Roman" w:hAnsi="Times New Roman" w:cs="Times New Roman"/>
          <w:sz w:val="24"/>
          <w:szCs w:val="24"/>
        </w:rPr>
        <w:t xml:space="preserve">for </w:t>
      </w:r>
      <w:r>
        <w:rPr>
          <w:rFonts w:ascii="Times New Roman" w:hAnsi="Times New Roman" w:cs="Times New Roman"/>
          <w:sz w:val="24"/>
          <w:szCs w:val="24"/>
        </w:rPr>
        <w:t>RAM,</w:t>
      </w:r>
      <w:r w:rsidRPr="00CD5568">
        <w:rPr>
          <w:rFonts w:ascii="Times New Roman" w:hAnsi="Times New Roman" w:cs="Times New Roman"/>
          <w:sz w:val="24"/>
          <w:szCs w:val="24"/>
        </w:rPr>
        <w:t xml:space="preserve"> compared with </w:t>
      </w:r>
      <w:r>
        <w:rPr>
          <w:rFonts w:ascii="Times New Roman" w:hAnsi="Times New Roman" w:cs="Times New Roman"/>
          <w:sz w:val="24"/>
          <w:szCs w:val="24"/>
        </w:rPr>
        <w:t>AEM</w:t>
      </w:r>
      <w:r w:rsidRPr="00CD5568">
        <w:rPr>
          <w:rFonts w:ascii="Times New Roman" w:hAnsi="Times New Roman" w:cs="Times New Roman"/>
          <w:sz w:val="24"/>
          <w:szCs w:val="24"/>
        </w:rPr>
        <w:t xml:space="preserve"> (</w:t>
      </w:r>
      <w:r w:rsidR="006E0567">
        <w:rPr>
          <w:rFonts w:ascii="Times New Roman" w:hAnsi="Times New Roman" w:cs="Times New Roman"/>
          <w:sz w:val="24"/>
          <w:szCs w:val="24"/>
        </w:rPr>
        <w:t>for example</w:t>
      </w:r>
      <w:r w:rsidRPr="00CD5568">
        <w:rPr>
          <w:rFonts w:ascii="Times New Roman" w:hAnsi="Times New Roman" w:cs="Times New Roman"/>
          <w:sz w:val="24"/>
          <w:szCs w:val="24"/>
        </w:rPr>
        <w:t xml:space="preserve">, Cohen </w:t>
      </w:r>
      <w:r w:rsidR="00597DA6">
        <w:rPr>
          <w:rFonts w:ascii="Times New Roman" w:hAnsi="Times New Roman" w:cs="Times New Roman"/>
          <w:sz w:val="24"/>
          <w:szCs w:val="24"/>
        </w:rPr>
        <w:t>and</w:t>
      </w:r>
      <w:r w:rsidRPr="00CD5568">
        <w:rPr>
          <w:rFonts w:ascii="Times New Roman" w:hAnsi="Times New Roman" w:cs="Times New Roman"/>
          <w:sz w:val="24"/>
          <w:szCs w:val="24"/>
        </w:rPr>
        <w:t xml:space="preserve"> Zarowin, 2010; Zang, 2012)</w:t>
      </w:r>
      <w:r>
        <w:rPr>
          <w:rFonts w:ascii="Times New Roman" w:hAnsi="Times New Roman" w:cs="Times New Roman"/>
          <w:sz w:val="24"/>
          <w:szCs w:val="24"/>
        </w:rPr>
        <w:t>,</w:t>
      </w:r>
      <w:r w:rsidRPr="00CD5568">
        <w:rPr>
          <w:rFonts w:ascii="Times New Roman" w:hAnsi="Times New Roman" w:cs="Times New Roman"/>
          <w:sz w:val="24"/>
          <w:szCs w:val="24"/>
        </w:rPr>
        <w:t xml:space="preserve"> or a switch from </w:t>
      </w:r>
      <w:r>
        <w:rPr>
          <w:rFonts w:ascii="Times New Roman" w:hAnsi="Times New Roman" w:cs="Times New Roman"/>
          <w:sz w:val="24"/>
          <w:szCs w:val="24"/>
        </w:rPr>
        <w:t>AEM</w:t>
      </w:r>
      <w:r w:rsidRPr="00CD5568">
        <w:rPr>
          <w:rFonts w:ascii="Times New Roman" w:hAnsi="Times New Roman" w:cs="Times New Roman"/>
          <w:sz w:val="24"/>
          <w:szCs w:val="24"/>
        </w:rPr>
        <w:t xml:space="preserve"> to </w:t>
      </w:r>
      <w:r>
        <w:rPr>
          <w:rFonts w:ascii="Times New Roman" w:hAnsi="Times New Roman" w:cs="Times New Roman"/>
          <w:sz w:val="24"/>
          <w:szCs w:val="24"/>
        </w:rPr>
        <w:t>RAM</w:t>
      </w:r>
      <w:r w:rsidRPr="00CD5568">
        <w:rPr>
          <w:rFonts w:ascii="Times New Roman" w:hAnsi="Times New Roman" w:cs="Times New Roman"/>
          <w:sz w:val="24"/>
          <w:szCs w:val="24"/>
        </w:rPr>
        <w:t xml:space="preserve"> (</w:t>
      </w:r>
      <w:r w:rsidR="004E1E19">
        <w:rPr>
          <w:rFonts w:ascii="Times New Roman" w:hAnsi="Times New Roman" w:cs="Times New Roman"/>
          <w:sz w:val="24"/>
          <w:szCs w:val="24"/>
        </w:rPr>
        <w:t xml:space="preserve">for example, </w:t>
      </w:r>
      <w:r w:rsidRPr="00E60BBC">
        <w:rPr>
          <w:rFonts w:ascii="Times New Roman" w:hAnsi="Times New Roman" w:cs="Times New Roman"/>
          <w:noProof/>
          <w:sz w:val="24"/>
          <w:szCs w:val="24"/>
          <w:lang w:val="en-US"/>
        </w:rPr>
        <w:t>Cohen</w:t>
      </w:r>
      <w:r>
        <w:rPr>
          <w:rFonts w:ascii="Times New Roman" w:hAnsi="Times New Roman" w:cs="Times New Roman"/>
          <w:noProof/>
          <w:sz w:val="24"/>
          <w:szCs w:val="24"/>
          <w:lang w:val="en-US"/>
        </w:rPr>
        <w:t xml:space="preserve"> et al.</w:t>
      </w:r>
      <w:r w:rsidRPr="00E60BBC">
        <w:rPr>
          <w:rFonts w:ascii="Times New Roman" w:hAnsi="Times New Roman" w:cs="Times New Roman"/>
          <w:noProof/>
          <w:sz w:val="24"/>
          <w:szCs w:val="24"/>
          <w:lang w:val="en-US"/>
        </w:rPr>
        <w:t xml:space="preserve">, </w:t>
      </w:r>
      <w:r w:rsidRPr="00CD5568">
        <w:rPr>
          <w:rFonts w:ascii="Times New Roman" w:hAnsi="Times New Roman" w:cs="Times New Roman"/>
          <w:sz w:val="24"/>
          <w:szCs w:val="24"/>
        </w:rPr>
        <w:t xml:space="preserve">2008; Garg, 2018). The preference for </w:t>
      </w:r>
      <w:r>
        <w:rPr>
          <w:rFonts w:ascii="Times New Roman" w:hAnsi="Times New Roman" w:cs="Times New Roman"/>
          <w:sz w:val="24"/>
          <w:szCs w:val="24"/>
        </w:rPr>
        <w:t>RAM</w:t>
      </w:r>
      <w:r w:rsidRPr="00CD5568">
        <w:rPr>
          <w:rFonts w:ascii="Times New Roman" w:hAnsi="Times New Roman" w:cs="Times New Roman"/>
          <w:sz w:val="24"/>
          <w:szCs w:val="24"/>
        </w:rPr>
        <w:t xml:space="preserve"> stems from the fact that </w:t>
      </w:r>
      <w:r w:rsidR="004E1E19">
        <w:rPr>
          <w:rFonts w:ascii="Times New Roman" w:hAnsi="Times New Roman" w:cs="Times New Roman"/>
          <w:sz w:val="24"/>
          <w:szCs w:val="24"/>
        </w:rPr>
        <w:t xml:space="preserve">regulators, </w:t>
      </w:r>
      <w:r w:rsidRPr="00CD5568">
        <w:rPr>
          <w:rFonts w:ascii="Times New Roman" w:hAnsi="Times New Roman" w:cs="Times New Roman"/>
          <w:sz w:val="24"/>
          <w:szCs w:val="24"/>
        </w:rPr>
        <w:t xml:space="preserve">auditors, </w:t>
      </w:r>
      <w:r w:rsidR="00AE0B42">
        <w:rPr>
          <w:rFonts w:ascii="Times New Roman" w:hAnsi="Times New Roman" w:cs="Times New Roman"/>
          <w:sz w:val="24"/>
          <w:szCs w:val="24"/>
        </w:rPr>
        <w:t xml:space="preserve">and </w:t>
      </w:r>
      <w:r w:rsidRPr="00CD5568">
        <w:rPr>
          <w:rFonts w:ascii="Times New Roman" w:hAnsi="Times New Roman" w:cs="Times New Roman"/>
          <w:sz w:val="24"/>
          <w:szCs w:val="24"/>
        </w:rPr>
        <w:t xml:space="preserve">financial analysts struggle to detect it. </w:t>
      </w:r>
      <w:r>
        <w:rPr>
          <w:rFonts w:ascii="Times New Roman" w:hAnsi="Times New Roman" w:cs="Times New Roman"/>
          <w:sz w:val="24"/>
          <w:szCs w:val="24"/>
        </w:rPr>
        <w:t xml:space="preserve">On one hand, owing to the </w:t>
      </w:r>
      <w:r w:rsidR="0042432D">
        <w:rPr>
          <w:rFonts w:ascii="Times New Roman" w:hAnsi="Times New Roman" w:cs="Times New Roman"/>
          <w:sz w:val="24"/>
          <w:szCs w:val="24"/>
        </w:rPr>
        <w:t xml:space="preserve">more intense </w:t>
      </w:r>
      <w:r>
        <w:rPr>
          <w:rFonts w:ascii="Times New Roman" w:hAnsi="Times New Roman" w:cs="Times New Roman"/>
          <w:sz w:val="24"/>
          <w:szCs w:val="24"/>
        </w:rPr>
        <w:t xml:space="preserve">level of scrutiny surrounding SEOs, there is the likelihood of a shift from AEM to RAM (Cohen et al., 2008). </w:t>
      </w:r>
      <w:r w:rsidRPr="00E60BBC">
        <w:rPr>
          <w:rFonts w:ascii="Times New Roman" w:hAnsi="Times New Roman" w:cs="Times New Roman"/>
          <w:noProof/>
          <w:sz w:val="24"/>
          <w:szCs w:val="24"/>
          <w:lang w:val="en-US"/>
        </w:rPr>
        <w:t>Graham</w:t>
      </w:r>
      <w:r w:rsidR="006A564A">
        <w:rPr>
          <w:rFonts w:ascii="Times New Roman" w:hAnsi="Times New Roman" w:cs="Times New Roman"/>
          <w:noProof/>
          <w:sz w:val="24"/>
          <w:szCs w:val="24"/>
          <w:lang w:val="en-US"/>
        </w:rPr>
        <w:t xml:space="preserve"> et al.</w:t>
      </w:r>
      <w:r w:rsidRPr="00E60BBC">
        <w:rPr>
          <w:rFonts w:ascii="Times New Roman" w:hAnsi="Times New Roman" w:cs="Times New Roman"/>
          <w:noProof/>
          <w:sz w:val="24"/>
          <w:szCs w:val="24"/>
          <w:lang w:val="en-US"/>
        </w:rPr>
        <w:t xml:space="preserve"> </w:t>
      </w:r>
      <w:r w:rsidRPr="00CD5568">
        <w:rPr>
          <w:rFonts w:ascii="Times New Roman" w:hAnsi="Times New Roman" w:cs="Times New Roman"/>
          <w:sz w:val="24"/>
          <w:szCs w:val="24"/>
        </w:rPr>
        <w:t xml:space="preserve">(2005) find that </w:t>
      </w:r>
      <w:r>
        <w:rPr>
          <w:rFonts w:ascii="Times New Roman" w:hAnsi="Times New Roman" w:cs="Times New Roman"/>
          <w:sz w:val="24"/>
          <w:szCs w:val="24"/>
        </w:rPr>
        <w:t>firms are penalised by the capital market for negative earnings surprise</w:t>
      </w:r>
      <w:r w:rsidRPr="00CD5568">
        <w:rPr>
          <w:rFonts w:ascii="Times New Roman" w:hAnsi="Times New Roman" w:cs="Times New Roman"/>
          <w:sz w:val="24"/>
          <w:szCs w:val="24"/>
        </w:rPr>
        <w:t>s</w:t>
      </w:r>
      <w:r>
        <w:rPr>
          <w:rFonts w:ascii="Times New Roman" w:hAnsi="Times New Roman" w:cs="Times New Roman"/>
          <w:sz w:val="24"/>
          <w:szCs w:val="24"/>
        </w:rPr>
        <w:t xml:space="preserve">. Consistent with this view, it is more likely that firms will sacrifice </w:t>
      </w:r>
      <w:r w:rsidR="00F7326C">
        <w:rPr>
          <w:rFonts w:ascii="Times New Roman" w:hAnsi="Times New Roman" w:cs="Times New Roman"/>
          <w:sz w:val="24"/>
          <w:szCs w:val="24"/>
        </w:rPr>
        <w:t>long-</w:t>
      </w:r>
      <w:r>
        <w:rPr>
          <w:rFonts w:ascii="Times New Roman" w:hAnsi="Times New Roman" w:cs="Times New Roman"/>
          <w:sz w:val="24"/>
          <w:szCs w:val="24"/>
        </w:rPr>
        <w:t xml:space="preserve">term firm value for </w:t>
      </w:r>
      <w:r w:rsidR="00F7326C">
        <w:rPr>
          <w:rFonts w:ascii="Times New Roman" w:hAnsi="Times New Roman" w:cs="Times New Roman"/>
          <w:sz w:val="24"/>
          <w:szCs w:val="24"/>
        </w:rPr>
        <w:t>short-</w:t>
      </w:r>
      <w:r>
        <w:rPr>
          <w:rFonts w:ascii="Times New Roman" w:hAnsi="Times New Roman" w:cs="Times New Roman"/>
          <w:sz w:val="24"/>
          <w:szCs w:val="24"/>
        </w:rPr>
        <w:t xml:space="preserve">term earnings targets. </w:t>
      </w:r>
      <w:r w:rsidR="0042432D">
        <w:rPr>
          <w:rFonts w:ascii="Times New Roman" w:hAnsi="Times New Roman" w:cs="Times New Roman"/>
          <w:sz w:val="24"/>
          <w:szCs w:val="24"/>
        </w:rPr>
        <w:t>Thus</w:t>
      </w:r>
      <w:r>
        <w:rPr>
          <w:rFonts w:ascii="Times New Roman" w:hAnsi="Times New Roman" w:cs="Times New Roman"/>
          <w:sz w:val="24"/>
          <w:szCs w:val="24"/>
        </w:rPr>
        <w:t xml:space="preserve">, RAM will have a larger impact on post-SEO performance. On the other hand, </w:t>
      </w:r>
      <w:r w:rsidR="001E4BC2">
        <w:rPr>
          <w:rFonts w:ascii="Times New Roman" w:hAnsi="Times New Roman" w:cs="Times New Roman"/>
          <w:sz w:val="24"/>
          <w:szCs w:val="24"/>
        </w:rPr>
        <w:t xml:space="preserve">in terms of shareholder wealth, </w:t>
      </w:r>
      <w:r>
        <w:rPr>
          <w:rFonts w:ascii="Times New Roman" w:hAnsi="Times New Roman" w:cs="Times New Roman"/>
          <w:sz w:val="24"/>
          <w:szCs w:val="24"/>
        </w:rPr>
        <w:t xml:space="preserve">it is more costly to engage in RAM compared with AEM, as it affects the economic fundamentals of a firm and its cash flows (Cohen et al., 2008; Zang, 2012). Therefore, firms </w:t>
      </w:r>
      <w:r w:rsidR="001E4BC2">
        <w:rPr>
          <w:rFonts w:ascii="Times New Roman" w:hAnsi="Times New Roman" w:cs="Times New Roman"/>
          <w:sz w:val="24"/>
          <w:szCs w:val="24"/>
        </w:rPr>
        <w:t xml:space="preserve">could </w:t>
      </w:r>
      <w:r>
        <w:rPr>
          <w:rFonts w:ascii="Times New Roman" w:hAnsi="Times New Roman" w:cs="Times New Roman"/>
          <w:sz w:val="24"/>
          <w:szCs w:val="24"/>
        </w:rPr>
        <w:t xml:space="preserve">be likely to refrain from using </w:t>
      </w:r>
      <w:r w:rsidR="001E4BC2">
        <w:rPr>
          <w:rFonts w:ascii="Times New Roman" w:hAnsi="Times New Roman" w:cs="Times New Roman"/>
          <w:sz w:val="24"/>
          <w:szCs w:val="24"/>
        </w:rPr>
        <w:t>the</w:t>
      </w:r>
      <w:r>
        <w:rPr>
          <w:rFonts w:ascii="Times New Roman" w:hAnsi="Times New Roman" w:cs="Times New Roman"/>
          <w:sz w:val="24"/>
          <w:szCs w:val="24"/>
        </w:rPr>
        <w:t xml:space="preserve"> costly earnings management</w:t>
      </w:r>
      <w:r w:rsidR="001E4BC2">
        <w:rPr>
          <w:rFonts w:ascii="Times New Roman" w:hAnsi="Times New Roman" w:cs="Times New Roman"/>
          <w:sz w:val="24"/>
          <w:szCs w:val="24"/>
        </w:rPr>
        <w:t>,</w:t>
      </w:r>
      <w:r>
        <w:rPr>
          <w:rFonts w:ascii="Times New Roman" w:hAnsi="Times New Roman" w:cs="Times New Roman"/>
          <w:sz w:val="24"/>
          <w:szCs w:val="24"/>
        </w:rPr>
        <w:t xml:space="preserve"> RAM and favour </w:t>
      </w:r>
      <w:r w:rsidR="00605997">
        <w:rPr>
          <w:rFonts w:ascii="Times New Roman" w:hAnsi="Times New Roman" w:cs="Times New Roman"/>
          <w:sz w:val="24"/>
          <w:szCs w:val="24"/>
        </w:rPr>
        <w:t xml:space="preserve">the </w:t>
      </w:r>
      <w:r>
        <w:rPr>
          <w:rFonts w:ascii="Times New Roman" w:hAnsi="Times New Roman" w:cs="Times New Roman"/>
          <w:sz w:val="24"/>
          <w:szCs w:val="24"/>
        </w:rPr>
        <w:t>less costly option</w:t>
      </w:r>
      <w:r w:rsidR="00605997">
        <w:rPr>
          <w:rFonts w:ascii="Times New Roman" w:hAnsi="Times New Roman" w:cs="Times New Roman"/>
          <w:sz w:val="24"/>
          <w:szCs w:val="24"/>
        </w:rPr>
        <w:t>,</w:t>
      </w:r>
      <w:r>
        <w:rPr>
          <w:rFonts w:ascii="Times New Roman" w:hAnsi="Times New Roman" w:cs="Times New Roman"/>
          <w:sz w:val="24"/>
          <w:szCs w:val="24"/>
        </w:rPr>
        <w:t xml:space="preserve"> AEM.</w:t>
      </w:r>
    </w:p>
    <w:p w14:paraId="285962D8" w14:textId="44695087" w:rsidR="008B0EE7" w:rsidRPr="00CD5568" w:rsidRDefault="008B0EE7" w:rsidP="008B0EE7">
      <w:pPr>
        <w:spacing w:after="0" w:line="480" w:lineRule="auto"/>
        <w:ind w:firstLine="284"/>
        <w:jc w:val="both"/>
        <w:rPr>
          <w:rFonts w:ascii="Times New Roman" w:hAnsi="Times New Roman" w:cs="Times New Roman"/>
          <w:sz w:val="24"/>
          <w:szCs w:val="24"/>
        </w:rPr>
      </w:pPr>
      <w:r w:rsidRPr="00CD5568">
        <w:rPr>
          <w:rFonts w:ascii="Times New Roman" w:hAnsi="Times New Roman" w:cs="Times New Roman"/>
          <w:sz w:val="24"/>
          <w:szCs w:val="24"/>
        </w:rPr>
        <w:t xml:space="preserve">SEOs create an incentive to manipulate earnings because </w:t>
      </w:r>
      <w:r w:rsidR="00862A75">
        <w:rPr>
          <w:rFonts w:ascii="Times New Roman" w:hAnsi="Times New Roman" w:cs="Times New Roman"/>
          <w:sz w:val="24"/>
          <w:szCs w:val="24"/>
        </w:rPr>
        <w:t xml:space="preserve">of </w:t>
      </w:r>
      <w:r w:rsidRPr="00CD5568">
        <w:rPr>
          <w:rFonts w:ascii="Times New Roman" w:hAnsi="Times New Roman" w:cs="Times New Roman"/>
          <w:sz w:val="24"/>
          <w:szCs w:val="24"/>
        </w:rPr>
        <w:t xml:space="preserve">the benefits </w:t>
      </w:r>
      <w:r w:rsidR="00862A75">
        <w:rPr>
          <w:rFonts w:ascii="Times New Roman" w:hAnsi="Times New Roman" w:cs="Times New Roman"/>
          <w:sz w:val="24"/>
          <w:szCs w:val="24"/>
        </w:rPr>
        <w:t xml:space="preserve">of </w:t>
      </w:r>
      <w:r w:rsidRPr="00CD5568">
        <w:rPr>
          <w:rFonts w:ascii="Times New Roman" w:hAnsi="Times New Roman" w:cs="Times New Roman"/>
          <w:sz w:val="24"/>
          <w:szCs w:val="24"/>
        </w:rPr>
        <w:t xml:space="preserve">higher </w:t>
      </w:r>
      <w:r w:rsidR="00862A75">
        <w:rPr>
          <w:rFonts w:ascii="Times New Roman" w:hAnsi="Times New Roman" w:cs="Times New Roman"/>
          <w:sz w:val="24"/>
          <w:szCs w:val="24"/>
        </w:rPr>
        <w:t xml:space="preserve">reported </w:t>
      </w:r>
      <w:r w:rsidRPr="00CD5568">
        <w:rPr>
          <w:rFonts w:ascii="Times New Roman" w:hAnsi="Times New Roman" w:cs="Times New Roman"/>
          <w:sz w:val="24"/>
          <w:szCs w:val="24"/>
        </w:rPr>
        <w:t>earnings prior to an SEO. However, the extent to which managers can manipulate earnings to benefit from higher SEO price</w:t>
      </w:r>
      <w:r>
        <w:rPr>
          <w:rFonts w:ascii="Times New Roman" w:hAnsi="Times New Roman" w:cs="Times New Roman"/>
          <w:sz w:val="24"/>
          <w:szCs w:val="24"/>
        </w:rPr>
        <w:t>s</w:t>
      </w:r>
      <w:r w:rsidRPr="00CD5568">
        <w:rPr>
          <w:rFonts w:ascii="Times New Roman" w:hAnsi="Times New Roman" w:cs="Times New Roman"/>
          <w:sz w:val="24"/>
          <w:szCs w:val="24"/>
        </w:rPr>
        <w:t xml:space="preserve"> depends on the opacity of the type of earnings management strategy. Thus</w:t>
      </w:r>
      <w:r>
        <w:rPr>
          <w:rFonts w:ascii="Times New Roman" w:hAnsi="Times New Roman" w:cs="Times New Roman"/>
          <w:sz w:val="24"/>
          <w:szCs w:val="24"/>
        </w:rPr>
        <w:t>,</w:t>
      </w:r>
      <w:r w:rsidRPr="00CD5568">
        <w:rPr>
          <w:rFonts w:ascii="Times New Roman" w:hAnsi="Times New Roman" w:cs="Times New Roman"/>
          <w:sz w:val="24"/>
          <w:szCs w:val="24"/>
        </w:rPr>
        <w:t xml:space="preserve"> post-SEO underperformance is likely to vary by the type of earnings management strategy applied. As </w:t>
      </w:r>
      <w:r>
        <w:rPr>
          <w:rFonts w:ascii="Times New Roman" w:hAnsi="Times New Roman" w:cs="Times New Roman"/>
          <w:sz w:val="24"/>
          <w:szCs w:val="24"/>
        </w:rPr>
        <w:t>RAM</w:t>
      </w:r>
      <w:r w:rsidRPr="00CD5568">
        <w:rPr>
          <w:rFonts w:ascii="Times New Roman" w:hAnsi="Times New Roman" w:cs="Times New Roman"/>
          <w:sz w:val="24"/>
          <w:szCs w:val="24"/>
        </w:rPr>
        <w:t xml:space="preserve"> </w:t>
      </w:r>
      <w:r>
        <w:rPr>
          <w:rFonts w:ascii="Times New Roman" w:hAnsi="Times New Roman" w:cs="Times New Roman"/>
          <w:sz w:val="24"/>
          <w:szCs w:val="24"/>
        </w:rPr>
        <w:t>is</w:t>
      </w:r>
      <w:r w:rsidRPr="00CD5568">
        <w:rPr>
          <w:rFonts w:ascii="Times New Roman" w:hAnsi="Times New Roman" w:cs="Times New Roman"/>
          <w:sz w:val="24"/>
          <w:szCs w:val="24"/>
        </w:rPr>
        <w:t xml:space="preserve"> more difficult to detect</w:t>
      </w:r>
      <w:r>
        <w:rPr>
          <w:rFonts w:ascii="Times New Roman" w:hAnsi="Times New Roman" w:cs="Times New Roman"/>
          <w:sz w:val="24"/>
          <w:szCs w:val="24"/>
        </w:rPr>
        <w:t xml:space="preserve"> and affects firms’ economic </w:t>
      </w:r>
      <w:r>
        <w:rPr>
          <w:rFonts w:ascii="Times New Roman" w:hAnsi="Times New Roman" w:cs="Times New Roman"/>
          <w:sz w:val="24"/>
          <w:szCs w:val="24"/>
        </w:rPr>
        <w:lastRenderedPageBreak/>
        <w:t>fundamentals and long-term value</w:t>
      </w:r>
      <w:r w:rsidRPr="00CD5568">
        <w:rPr>
          <w:rFonts w:ascii="Times New Roman" w:hAnsi="Times New Roman" w:cs="Times New Roman"/>
          <w:sz w:val="24"/>
          <w:szCs w:val="24"/>
        </w:rPr>
        <w:t xml:space="preserve">, we expect that firms that employ </w:t>
      </w:r>
      <w:r>
        <w:rPr>
          <w:rFonts w:ascii="Times New Roman" w:hAnsi="Times New Roman" w:cs="Times New Roman"/>
          <w:sz w:val="24"/>
          <w:szCs w:val="24"/>
        </w:rPr>
        <w:t>RAM</w:t>
      </w:r>
      <w:r w:rsidRPr="00CD5568">
        <w:rPr>
          <w:rFonts w:ascii="Times New Roman" w:hAnsi="Times New Roman" w:cs="Times New Roman"/>
          <w:sz w:val="24"/>
          <w:szCs w:val="24"/>
        </w:rPr>
        <w:t xml:space="preserve"> will exhibit more post-SEO performance, despite the level of scrutiny from auditors, analysts and external investors</w:t>
      </w:r>
      <w:r>
        <w:rPr>
          <w:rFonts w:ascii="Times New Roman" w:hAnsi="Times New Roman" w:cs="Times New Roman"/>
          <w:sz w:val="24"/>
          <w:szCs w:val="24"/>
        </w:rPr>
        <w:t>,</w:t>
      </w:r>
      <w:r w:rsidRPr="00CD5568">
        <w:rPr>
          <w:rFonts w:ascii="Times New Roman" w:hAnsi="Times New Roman" w:cs="Times New Roman"/>
          <w:sz w:val="24"/>
          <w:szCs w:val="24"/>
        </w:rPr>
        <w:t xml:space="preserve"> during</w:t>
      </w:r>
      <w:r w:rsidR="00D236B9">
        <w:rPr>
          <w:rFonts w:ascii="Times New Roman" w:hAnsi="Times New Roman" w:cs="Times New Roman"/>
          <w:sz w:val="24"/>
          <w:szCs w:val="24"/>
        </w:rPr>
        <w:t xml:space="preserve"> the</w:t>
      </w:r>
      <w:r w:rsidRPr="00CD5568">
        <w:rPr>
          <w:rFonts w:ascii="Times New Roman" w:hAnsi="Times New Roman" w:cs="Times New Roman"/>
          <w:sz w:val="24"/>
          <w:szCs w:val="24"/>
        </w:rPr>
        <w:t xml:space="preserve"> SEO</w:t>
      </w:r>
      <w:r w:rsidR="00140365">
        <w:rPr>
          <w:rFonts w:ascii="Times New Roman" w:hAnsi="Times New Roman" w:cs="Times New Roman"/>
          <w:sz w:val="24"/>
          <w:szCs w:val="24"/>
        </w:rPr>
        <w:t xml:space="preserve"> process</w:t>
      </w:r>
      <w:r w:rsidRPr="00CD5568">
        <w:rPr>
          <w:rFonts w:ascii="Times New Roman" w:hAnsi="Times New Roman" w:cs="Times New Roman"/>
          <w:sz w:val="24"/>
          <w:szCs w:val="24"/>
        </w:rPr>
        <w:t xml:space="preserve">. </w:t>
      </w:r>
      <w:r>
        <w:rPr>
          <w:rFonts w:ascii="Times New Roman" w:hAnsi="Times New Roman" w:cs="Times New Roman"/>
          <w:sz w:val="24"/>
          <w:szCs w:val="24"/>
        </w:rPr>
        <w:t>Thus, w</w:t>
      </w:r>
      <w:r w:rsidRPr="00CD5568">
        <w:rPr>
          <w:rFonts w:ascii="Times New Roman" w:hAnsi="Times New Roman" w:cs="Times New Roman"/>
          <w:sz w:val="24"/>
          <w:szCs w:val="24"/>
        </w:rPr>
        <w:t xml:space="preserve">e </w:t>
      </w:r>
      <w:r>
        <w:rPr>
          <w:rFonts w:ascii="Times New Roman" w:hAnsi="Times New Roman" w:cs="Times New Roman"/>
          <w:sz w:val="24"/>
          <w:szCs w:val="24"/>
        </w:rPr>
        <w:t>propose</w:t>
      </w:r>
      <w:r w:rsidRPr="00CD5568">
        <w:rPr>
          <w:rFonts w:ascii="Times New Roman" w:hAnsi="Times New Roman" w:cs="Times New Roman"/>
          <w:sz w:val="24"/>
          <w:szCs w:val="24"/>
        </w:rPr>
        <w:t xml:space="preserve"> the following hypothesis:</w:t>
      </w:r>
    </w:p>
    <w:p w14:paraId="0831C1D4" w14:textId="51322C91" w:rsidR="008B0EE7" w:rsidRPr="00CD5568" w:rsidRDefault="008B0EE7" w:rsidP="008B0EE7">
      <w:pPr>
        <w:spacing w:after="0" w:line="480" w:lineRule="auto"/>
        <w:ind w:left="284"/>
        <w:jc w:val="both"/>
        <w:rPr>
          <w:rFonts w:ascii="Times New Roman" w:hAnsi="Times New Roman" w:cs="Times New Roman"/>
          <w:iCs/>
          <w:sz w:val="24"/>
          <w:szCs w:val="24"/>
        </w:rPr>
      </w:pPr>
      <w:r w:rsidRPr="001578CB">
        <w:rPr>
          <w:rFonts w:ascii="Times New Roman" w:hAnsi="Times New Roman" w:cs="Times New Roman"/>
          <w:iCs/>
          <w:sz w:val="24"/>
          <w:szCs w:val="24"/>
        </w:rPr>
        <w:t>H1:</w:t>
      </w:r>
      <w:r w:rsidRPr="00CD5568">
        <w:rPr>
          <w:rFonts w:ascii="Times New Roman" w:hAnsi="Times New Roman" w:cs="Times New Roman"/>
          <w:iCs/>
          <w:sz w:val="24"/>
          <w:szCs w:val="24"/>
        </w:rPr>
        <w:t xml:space="preserve"> </w:t>
      </w:r>
      <w:r>
        <w:rPr>
          <w:rFonts w:ascii="Times New Roman" w:hAnsi="Times New Roman" w:cs="Times New Roman"/>
          <w:iCs/>
          <w:sz w:val="24"/>
          <w:szCs w:val="24"/>
        </w:rPr>
        <w:t>RAM</w:t>
      </w:r>
      <w:r w:rsidRPr="00CD5568">
        <w:rPr>
          <w:rFonts w:ascii="Times New Roman" w:hAnsi="Times New Roman" w:cs="Times New Roman"/>
          <w:iCs/>
          <w:sz w:val="24"/>
          <w:szCs w:val="24"/>
        </w:rPr>
        <w:t xml:space="preserve"> </w:t>
      </w:r>
      <w:r w:rsidR="003B0EAC">
        <w:rPr>
          <w:rFonts w:ascii="Times New Roman" w:hAnsi="Times New Roman" w:cs="Times New Roman"/>
          <w:iCs/>
          <w:sz w:val="24"/>
          <w:szCs w:val="24"/>
        </w:rPr>
        <w:t xml:space="preserve">has a greater negative impact on </w:t>
      </w:r>
      <w:r w:rsidRPr="00CD5568">
        <w:rPr>
          <w:rFonts w:ascii="Times New Roman" w:hAnsi="Times New Roman" w:cs="Times New Roman"/>
          <w:iCs/>
          <w:sz w:val="24"/>
          <w:szCs w:val="24"/>
        </w:rPr>
        <w:t>post-SEO performance</w:t>
      </w:r>
      <w:r>
        <w:rPr>
          <w:rFonts w:ascii="Times New Roman" w:hAnsi="Times New Roman" w:cs="Times New Roman"/>
          <w:iCs/>
          <w:sz w:val="24"/>
          <w:szCs w:val="24"/>
        </w:rPr>
        <w:t xml:space="preserve"> </w:t>
      </w:r>
      <w:r>
        <w:rPr>
          <w:rFonts w:ascii="Times New Roman" w:eastAsiaTheme="minorEastAsia" w:hAnsi="Times New Roman" w:cs="Times New Roman"/>
          <w:sz w:val="24"/>
          <w:szCs w:val="24"/>
        </w:rPr>
        <w:t xml:space="preserve">than </w:t>
      </w:r>
      <w:r w:rsidR="00CD7C1F">
        <w:rPr>
          <w:rFonts w:ascii="Times New Roman" w:eastAsiaTheme="minorEastAsia" w:hAnsi="Times New Roman" w:cs="Times New Roman"/>
          <w:sz w:val="24"/>
          <w:szCs w:val="24"/>
        </w:rPr>
        <w:t>does</w:t>
      </w:r>
      <w:r>
        <w:rPr>
          <w:rFonts w:ascii="Times New Roman" w:eastAsiaTheme="minorEastAsia" w:hAnsi="Times New Roman" w:cs="Times New Roman"/>
          <w:sz w:val="24"/>
          <w:szCs w:val="24"/>
        </w:rPr>
        <w:t xml:space="preserve"> </w:t>
      </w:r>
      <w:r w:rsidRPr="00023491">
        <w:rPr>
          <w:rFonts w:ascii="Times New Roman" w:eastAsiaTheme="minorEastAsia" w:hAnsi="Times New Roman" w:cs="Times New Roman"/>
          <w:sz w:val="24"/>
          <w:szCs w:val="24"/>
        </w:rPr>
        <w:t>AEM</w:t>
      </w:r>
      <w:r w:rsidRPr="00CD5568">
        <w:rPr>
          <w:rFonts w:ascii="Times New Roman" w:hAnsi="Times New Roman" w:cs="Times New Roman"/>
          <w:iCs/>
          <w:sz w:val="24"/>
          <w:szCs w:val="24"/>
        </w:rPr>
        <w:t>.</w:t>
      </w:r>
    </w:p>
    <w:p w14:paraId="3CA4FFF5" w14:textId="13451327" w:rsidR="008B0EE7"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We extend the above discussion to examine whether the </w:t>
      </w:r>
      <w:r w:rsidR="008C1521">
        <w:rPr>
          <w:rFonts w:ascii="Times New Roman" w:hAnsi="Times New Roman" w:cs="Times New Roman"/>
          <w:sz w:val="24"/>
          <w:szCs w:val="24"/>
        </w:rPr>
        <w:t xml:space="preserve">impact of AEM and RAM varies according to the </w:t>
      </w:r>
      <w:r>
        <w:rPr>
          <w:rFonts w:ascii="Times New Roman" w:hAnsi="Times New Roman" w:cs="Times New Roman"/>
          <w:sz w:val="24"/>
          <w:szCs w:val="24"/>
        </w:rPr>
        <w:t xml:space="preserve">strength of </w:t>
      </w:r>
      <w:r w:rsidR="008C1521">
        <w:rPr>
          <w:rFonts w:ascii="Times New Roman" w:hAnsi="Times New Roman" w:cs="Times New Roman"/>
          <w:sz w:val="24"/>
          <w:szCs w:val="24"/>
        </w:rPr>
        <w:t xml:space="preserve">the </w:t>
      </w:r>
      <w:r>
        <w:rPr>
          <w:rFonts w:ascii="Times New Roman" w:hAnsi="Times New Roman" w:cs="Times New Roman"/>
          <w:sz w:val="24"/>
          <w:szCs w:val="24"/>
        </w:rPr>
        <w:t xml:space="preserve">legal regime. </w:t>
      </w:r>
      <w:r w:rsidRPr="00CD5568">
        <w:rPr>
          <w:rFonts w:ascii="Times New Roman" w:hAnsi="Times New Roman" w:cs="Times New Roman"/>
          <w:sz w:val="24"/>
          <w:szCs w:val="24"/>
        </w:rPr>
        <w:t>Opare et al. (2020) find that</w:t>
      </w:r>
      <w:r>
        <w:rPr>
          <w:rFonts w:ascii="Times New Roman" w:hAnsi="Times New Roman" w:cs="Times New Roman"/>
          <w:sz w:val="24"/>
          <w:szCs w:val="24"/>
        </w:rPr>
        <w:t xml:space="preserve"> </w:t>
      </w:r>
      <w:r w:rsidR="00BB2FB1">
        <w:rPr>
          <w:rFonts w:ascii="Times New Roman" w:hAnsi="Times New Roman" w:cs="Times New Roman"/>
          <w:sz w:val="24"/>
          <w:szCs w:val="24"/>
        </w:rPr>
        <w:t xml:space="preserve">improvement </w:t>
      </w:r>
      <w:r>
        <w:rPr>
          <w:rFonts w:ascii="Times New Roman" w:hAnsi="Times New Roman" w:cs="Times New Roman"/>
          <w:sz w:val="24"/>
          <w:szCs w:val="24"/>
        </w:rPr>
        <w:t xml:space="preserve">in post-SEO performance following adoption of IFRS </w:t>
      </w:r>
      <w:r w:rsidR="00BB2FB1">
        <w:rPr>
          <w:rFonts w:ascii="Times New Roman" w:hAnsi="Times New Roman" w:cs="Times New Roman"/>
          <w:sz w:val="24"/>
          <w:szCs w:val="24"/>
        </w:rPr>
        <w:t xml:space="preserve">occurs </w:t>
      </w:r>
      <w:r>
        <w:rPr>
          <w:rFonts w:ascii="Times New Roman" w:hAnsi="Times New Roman" w:cs="Times New Roman"/>
          <w:sz w:val="24"/>
          <w:szCs w:val="24"/>
        </w:rPr>
        <w:t>only for firms in countries with strong legal enforcement. T</w:t>
      </w:r>
      <w:r w:rsidRPr="00CD5568">
        <w:rPr>
          <w:rFonts w:ascii="Times New Roman" w:hAnsi="Times New Roman" w:cs="Times New Roman"/>
          <w:sz w:val="24"/>
          <w:szCs w:val="24"/>
        </w:rPr>
        <w:t xml:space="preserve">he high level of information transfer and disclosure characterising </w:t>
      </w:r>
      <w:r>
        <w:rPr>
          <w:rFonts w:ascii="Times New Roman" w:hAnsi="Times New Roman" w:cs="Times New Roman"/>
          <w:sz w:val="24"/>
          <w:szCs w:val="24"/>
        </w:rPr>
        <w:t>strong legal regimes,</w:t>
      </w:r>
      <w:r w:rsidRPr="00CD5568">
        <w:rPr>
          <w:rFonts w:ascii="Times New Roman" w:hAnsi="Times New Roman" w:cs="Times New Roman"/>
          <w:sz w:val="24"/>
          <w:szCs w:val="24"/>
        </w:rPr>
        <w:t xml:space="preserve"> suggest</w:t>
      </w:r>
      <w:r>
        <w:rPr>
          <w:rFonts w:ascii="Times New Roman" w:hAnsi="Times New Roman" w:cs="Times New Roman"/>
          <w:sz w:val="24"/>
          <w:szCs w:val="24"/>
        </w:rPr>
        <w:t>s</w:t>
      </w:r>
      <w:r w:rsidRPr="00CD5568">
        <w:rPr>
          <w:rFonts w:ascii="Times New Roman" w:hAnsi="Times New Roman" w:cs="Times New Roman"/>
          <w:sz w:val="24"/>
          <w:szCs w:val="24"/>
        </w:rPr>
        <w:t xml:space="preserve"> that firms have less opportunity to engage in earnings management</w:t>
      </w:r>
      <w:r w:rsidR="00984204">
        <w:rPr>
          <w:rFonts w:ascii="Times New Roman" w:hAnsi="Times New Roman" w:cs="Times New Roman"/>
          <w:sz w:val="24"/>
          <w:szCs w:val="24"/>
        </w:rPr>
        <w:t xml:space="preserve"> and </w:t>
      </w:r>
      <w:r w:rsidR="007C3F3C">
        <w:rPr>
          <w:rFonts w:ascii="Times New Roman" w:hAnsi="Times New Roman" w:cs="Times New Roman"/>
          <w:sz w:val="24"/>
          <w:szCs w:val="24"/>
        </w:rPr>
        <w:t>consequently</w:t>
      </w:r>
      <w:r w:rsidR="009B5425">
        <w:rPr>
          <w:rFonts w:ascii="Times New Roman" w:hAnsi="Times New Roman" w:cs="Times New Roman"/>
          <w:sz w:val="24"/>
          <w:szCs w:val="24"/>
        </w:rPr>
        <w:t xml:space="preserve"> financial reports of listed firms are </w:t>
      </w:r>
      <w:r w:rsidR="007C3F3C">
        <w:rPr>
          <w:rFonts w:ascii="Times New Roman" w:hAnsi="Times New Roman" w:cs="Times New Roman"/>
          <w:sz w:val="24"/>
          <w:szCs w:val="24"/>
        </w:rPr>
        <w:t xml:space="preserve">of higher </w:t>
      </w:r>
      <w:r w:rsidR="009B5425">
        <w:rPr>
          <w:rFonts w:ascii="Times New Roman" w:hAnsi="Times New Roman" w:cs="Times New Roman"/>
          <w:sz w:val="24"/>
          <w:szCs w:val="24"/>
        </w:rPr>
        <w:t>quality</w:t>
      </w:r>
      <w:r w:rsidR="00A474AC">
        <w:rPr>
          <w:rFonts w:ascii="Times New Roman" w:hAnsi="Times New Roman" w:cs="Times New Roman"/>
          <w:sz w:val="24"/>
          <w:szCs w:val="24"/>
        </w:rPr>
        <w:t xml:space="preserve">. </w:t>
      </w:r>
      <w:r>
        <w:rPr>
          <w:rFonts w:ascii="Times New Roman" w:hAnsi="Times New Roman" w:cs="Times New Roman"/>
          <w:sz w:val="24"/>
          <w:szCs w:val="24"/>
        </w:rPr>
        <w:t xml:space="preserve">Strong legal regimes </w:t>
      </w:r>
      <w:r w:rsidR="00BD04EA">
        <w:rPr>
          <w:rFonts w:ascii="Times New Roman" w:hAnsi="Times New Roman" w:cs="Times New Roman"/>
          <w:sz w:val="24"/>
          <w:szCs w:val="24"/>
        </w:rPr>
        <w:t xml:space="preserve">have </w:t>
      </w:r>
      <w:r>
        <w:rPr>
          <w:rFonts w:ascii="Times New Roman" w:hAnsi="Times New Roman" w:cs="Times New Roman"/>
          <w:sz w:val="24"/>
          <w:szCs w:val="24"/>
        </w:rPr>
        <w:t xml:space="preserve">stricter </w:t>
      </w:r>
      <w:r w:rsidR="00700248">
        <w:rPr>
          <w:rFonts w:ascii="Times New Roman" w:hAnsi="Times New Roman" w:cs="Times New Roman"/>
          <w:sz w:val="24"/>
          <w:szCs w:val="24"/>
        </w:rPr>
        <w:t xml:space="preserve">requirements, </w:t>
      </w:r>
      <w:r w:rsidR="00BD04EA">
        <w:rPr>
          <w:rFonts w:ascii="Times New Roman" w:hAnsi="Times New Roman" w:cs="Times New Roman"/>
          <w:sz w:val="24"/>
          <w:szCs w:val="24"/>
        </w:rPr>
        <w:t xml:space="preserve">facilitate </w:t>
      </w:r>
      <w:r w:rsidR="001727CE">
        <w:rPr>
          <w:rFonts w:ascii="Times New Roman" w:hAnsi="Times New Roman" w:cs="Times New Roman"/>
          <w:sz w:val="24"/>
          <w:szCs w:val="24"/>
        </w:rPr>
        <w:t>better</w:t>
      </w:r>
      <w:r w:rsidR="00700248">
        <w:rPr>
          <w:rFonts w:ascii="Times New Roman" w:hAnsi="Times New Roman" w:cs="Times New Roman"/>
          <w:sz w:val="24"/>
          <w:szCs w:val="24"/>
        </w:rPr>
        <w:t xml:space="preserve"> scrutiny</w:t>
      </w:r>
      <w:r w:rsidR="001727CE">
        <w:rPr>
          <w:rFonts w:ascii="Times New Roman" w:hAnsi="Times New Roman" w:cs="Times New Roman"/>
          <w:sz w:val="24"/>
          <w:szCs w:val="24"/>
        </w:rPr>
        <w:t>, have higher compliance</w:t>
      </w:r>
      <w:r>
        <w:rPr>
          <w:rFonts w:ascii="Times New Roman" w:hAnsi="Times New Roman" w:cs="Times New Roman"/>
          <w:sz w:val="24"/>
          <w:szCs w:val="24"/>
        </w:rPr>
        <w:t xml:space="preserve"> with accounting standards, and </w:t>
      </w:r>
      <w:r w:rsidR="001727CE">
        <w:rPr>
          <w:rFonts w:ascii="Times New Roman" w:hAnsi="Times New Roman" w:cs="Times New Roman"/>
          <w:sz w:val="24"/>
          <w:szCs w:val="24"/>
        </w:rPr>
        <w:t>are less</w:t>
      </w:r>
      <w:r w:rsidR="00631B36">
        <w:rPr>
          <w:rFonts w:ascii="Times New Roman" w:hAnsi="Times New Roman" w:cs="Times New Roman"/>
          <w:sz w:val="24"/>
          <w:szCs w:val="24"/>
        </w:rPr>
        <w:t xml:space="preserve"> permissive in choice of </w:t>
      </w:r>
      <w:r>
        <w:rPr>
          <w:rFonts w:ascii="Times New Roman" w:hAnsi="Times New Roman" w:cs="Times New Roman"/>
          <w:sz w:val="24"/>
          <w:szCs w:val="24"/>
        </w:rPr>
        <w:t xml:space="preserve">accounting treatment (Hope, 2003). </w:t>
      </w:r>
      <w:r w:rsidR="00DE6E08">
        <w:rPr>
          <w:rFonts w:ascii="Times New Roman" w:hAnsi="Times New Roman" w:cs="Times New Roman"/>
          <w:sz w:val="24"/>
          <w:szCs w:val="24"/>
        </w:rPr>
        <w:t xml:space="preserve">Consequently, </w:t>
      </w:r>
      <w:r w:rsidR="006F0B32">
        <w:rPr>
          <w:rFonts w:ascii="Times New Roman" w:hAnsi="Times New Roman" w:cs="Times New Roman"/>
          <w:sz w:val="24"/>
          <w:szCs w:val="24"/>
        </w:rPr>
        <w:t>strong legal regimes</w:t>
      </w:r>
      <w:r w:rsidR="003766E0">
        <w:rPr>
          <w:rFonts w:ascii="Times New Roman" w:hAnsi="Times New Roman" w:cs="Times New Roman"/>
          <w:sz w:val="24"/>
          <w:szCs w:val="24"/>
        </w:rPr>
        <w:t xml:space="preserve"> enhance the quality of financial reports </w:t>
      </w:r>
      <w:r w:rsidR="00D90DB3">
        <w:rPr>
          <w:rFonts w:ascii="Times New Roman" w:hAnsi="Times New Roman" w:cs="Times New Roman"/>
          <w:sz w:val="24"/>
          <w:szCs w:val="24"/>
        </w:rPr>
        <w:t>(as evident in low levels of earnings management)</w:t>
      </w:r>
      <w:r w:rsidR="00CC6E25">
        <w:rPr>
          <w:rFonts w:ascii="Times New Roman" w:hAnsi="Times New Roman" w:cs="Times New Roman"/>
          <w:sz w:val="24"/>
          <w:szCs w:val="24"/>
        </w:rPr>
        <w:t xml:space="preserve"> </w:t>
      </w:r>
      <w:r w:rsidR="00602435">
        <w:rPr>
          <w:rFonts w:ascii="Times New Roman" w:hAnsi="Times New Roman" w:cs="Times New Roman"/>
          <w:sz w:val="24"/>
          <w:szCs w:val="24"/>
        </w:rPr>
        <w:t>(Christensen et al., 2013</w:t>
      </w:r>
      <w:r w:rsidR="00F62C99">
        <w:rPr>
          <w:rFonts w:ascii="Times New Roman" w:hAnsi="Times New Roman" w:cs="Times New Roman"/>
          <w:sz w:val="24"/>
          <w:szCs w:val="24"/>
        </w:rPr>
        <w:t xml:space="preserve">; </w:t>
      </w:r>
      <w:r w:rsidR="00F62C99" w:rsidRPr="00F62C99">
        <w:rPr>
          <w:rFonts w:ascii="Times New Roman" w:hAnsi="Times New Roman" w:cs="Times New Roman"/>
          <w:sz w:val="24"/>
          <w:szCs w:val="24"/>
        </w:rPr>
        <w:t>Ernstberger</w:t>
      </w:r>
      <w:r w:rsidR="00F62C99">
        <w:rPr>
          <w:rFonts w:ascii="Times New Roman" w:hAnsi="Times New Roman" w:cs="Times New Roman"/>
          <w:sz w:val="24"/>
          <w:szCs w:val="24"/>
        </w:rPr>
        <w:t xml:space="preserve"> et al., 2012) </w:t>
      </w:r>
      <w:r w:rsidR="00CD4375">
        <w:rPr>
          <w:rFonts w:ascii="Times New Roman" w:hAnsi="Times New Roman" w:cs="Times New Roman"/>
          <w:sz w:val="24"/>
          <w:szCs w:val="24"/>
        </w:rPr>
        <w:t xml:space="preserve">which </w:t>
      </w:r>
      <w:r w:rsidR="00053CE7">
        <w:rPr>
          <w:rFonts w:ascii="Times New Roman" w:hAnsi="Times New Roman" w:cs="Times New Roman"/>
          <w:sz w:val="24"/>
          <w:szCs w:val="24"/>
        </w:rPr>
        <w:t>can enhance</w:t>
      </w:r>
      <w:r w:rsidR="009465E6">
        <w:rPr>
          <w:rFonts w:ascii="Times New Roman" w:hAnsi="Times New Roman" w:cs="Times New Roman"/>
          <w:sz w:val="24"/>
          <w:szCs w:val="24"/>
        </w:rPr>
        <w:t xml:space="preserve"> inv</w:t>
      </w:r>
      <w:r w:rsidR="00DD7D4D">
        <w:rPr>
          <w:rFonts w:ascii="Times New Roman" w:hAnsi="Times New Roman" w:cs="Times New Roman"/>
          <w:sz w:val="24"/>
          <w:szCs w:val="24"/>
        </w:rPr>
        <w:t>estment efficiency and</w:t>
      </w:r>
      <w:r w:rsidR="00053CE7">
        <w:rPr>
          <w:rFonts w:ascii="Times New Roman" w:hAnsi="Times New Roman" w:cs="Times New Roman"/>
          <w:sz w:val="24"/>
          <w:szCs w:val="24"/>
        </w:rPr>
        <w:t xml:space="preserve"> firm value</w:t>
      </w:r>
      <w:r w:rsidR="001855FA">
        <w:rPr>
          <w:rFonts w:ascii="Times New Roman" w:hAnsi="Times New Roman" w:cs="Times New Roman"/>
          <w:sz w:val="24"/>
          <w:szCs w:val="24"/>
        </w:rPr>
        <w:t xml:space="preserve"> (Biddle and Hilary, 2006)</w:t>
      </w:r>
      <w:r w:rsidR="00053CE7">
        <w:rPr>
          <w:rFonts w:ascii="Times New Roman" w:hAnsi="Times New Roman" w:cs="Times New Roman"/>
          <w:sz w:val="24"/>
          <w:szCs w:val="24"/>
        </w:rPr>
        <w:t xml:space="preserve">. </w:t>
      </w:r>
      <w:r w:rsidRPr="00CD5568">
        <w:rPr>
          <w:rFonts w:ascii="Times New Roman" w:hAnsi="Times New Roman" w:cs="Times New Roman"/>
          <w:sz w:val="24"/>
          <w:szCs w:val="24"/>
        </w:rPr>
        <w:t xml:space="preserve">Thus, regulators and auditors are </w:t>
      </w:r>
      <w:r>
        <w:rPr>
          <w:rFonts w:ascii="Times New Roman" w:hAnsi="Times New Roman" w:cs="Times New Roman"/>
          <w:sz w:val="24"/>
          <w:szCs w:val="24"/>
        </w:rPr>
        <w:t>better</w:t>
      </w:r>
      <w:r w:rsidRPr="00CD5568">
        <w:rPr>
          <w:rFonts w:ascii="Times New Roman" w:hAnsi="Times New Roman" w:cs="Times New Roman"/>
          <w:sz w:val="24"/>
          <w:szCs w:val="24"/>
        </w:rPr>
        <w:t xml:space="preserve"> able to detect </w:t>
      </w:r>
      <w:r>
        <w:rPr>
          <w:rFonts w:ascii="Times New Roman" w:hAnsi="Times New Roman" w:cs="Times New Roman"/>
          <w:sz w:val="24"/>
          <w:szCs w:val="24"/>
        </w:rPr>
        <w:t>AEM</w:t>
      </w:r>
      <w:r w:rsidRPr="00CD5568">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Pr="00CD5568">
        <w:rPr>
          <w:rFonts w:ascii="Times New Roman" w:hAnsi="Times New Roman" w:cs="Times New Roman"/>
          <w:sz w:val="24"/>
          <w:szCs w:val="24"/>
        </w:rPr>
        <w:t>protect the right</w:t>
      </w:r>
      <w:r>
        <w:rPr>
          <w:rFonts w:ascii="Times New Roman" w:hAnsi="Times New Roman" w:cs="Times New Roman"/>
          <w:sz w:val="24"/>
          <w:szCs w:val="24"/>
        </w:rPr>
        <w:t>s</w:t>
      </w:r>
      <w:r w:rsidRPr="00CD5568">
        <w:rPr>
          <w:rFonts w:ascii="Times New Roman" w:hAnsi="Times New Roman" w:cs="Times New Roman"/>
          <w:sz w:val="24"/>
          <w:szCs w:val="24"/>
        </w:rPr>
        <w:t xml:space="preserve"> of investors in </w:t>
      </w:r>
      <w:r>
        <w:rPr>
          <w:rFonts w:ascii="Times New Roman" w:hAnsi="Times New Roman" w:cs="Times New Roman"/>
          <w:sz w:val="24"/>
          <w:szCs w:val="24"/>
        </w:rPr>
        <w:t>strong legal regimes</w:t>
      </w:r>
      <w:r w:rsidR="00F97108">
        <w:rPr>
          <w:rFonts w:ascii="Times New Roman" w:hAnsi="Times New Roman" w:cs="Times New Roman"/>
          <w:sz w:val="24"/>
          <w:szCs w:val="24"/>
        </w:rPr>
        <w:t xml:space="preserve"> as AEM</w:t>
      </w:r>
      <w:r w:rsidR="00323181">
        <w:rPr>
          <w:rFonts w:ascii="Times New Roman" w:hAnsi="Times New Roman" w:cs="Times New Roman"/>
          <w:sz w:val="24"/>
          <w:szCs w:val="24"/>
        </w:rPr>
        <w:t xml:space="preserve"> </w:t>
      </w:r>
      <w:r w:rsidR="00F64323">
        <w:rPr>
          <w:rFonts w:ascii="Times New Roman" w:hAnsi="Times New Roman" w:cs="Times New Roman"/>
          <w:sz w:val="24"/>
          <w:szCs w:val="24"/>
        </w:rPr>
        <w:t>is likely to</w:t>
      </w:r>
      <w:r w:rsidR="00323181">
        <w:rPr>
          <w:rFonts w:ascii="Times New Roman" w:hAnsi="Times New Roman" w:cs="Times New Roman"/>
          <w:sz w:val="24"/>
          <w:szCs w:val="24"/>
        </w:rPr>
        <w:t xml:space="preserve"> trigger violation</w:t>
      </w:r>
      <w:r w:rsidR="00D0797A">
        <w:rPr>
          <w:rFonts w:ascii="Times New Roman" w:hAnsi="Times New Roman" w:cs="Times New Roman"/>
          <w:sz w:val="24"/>
          <w:szCs w:val="24"/>
        </w:rPr>
        <w:t>s</w:t>
      </w:r>
      <w:r w:rsidR="00323181">
        <w:rPr>
          <w:rFonts w:ascii="Times New Roman" w:hAnsi="Times New Roman" w:cs="Times New Roman"/>
          <w:sz w:val="24"/>
          <w:szCs w:val="24"/>
        </w:rPr>
        <w:t xml:space="preserve"> of accounting standards (Choi et al., 2018)</w:t>
      </w:r>
      <w:r>
        <w:rPr>
          <w:rFonts w:ascii="Times New Roman" w:hAnsi="Times New Roman" w:cs="Times New Roman"/>
          <w:sz w:val="24"/>
          <w:szCs w:val="24"/>
        </w:rPr>
        <w:t>. Therefore, it is expected that firms in countries with strong legal regimes will engage in less AEM and, hence, AEM will have a lower impact on post-SEO performance.</w:t>
      </w:r>
      <w:r w:rsidR="00A04842">
        <w:rPr>
          <w:rFonts w:ascii="Times New Roman" w:hAnsi="Times New Roman" w:cs="Times New Roman"/>
          <w:sz w:val="24"/>
          <w:szCs w:val="24"/>
        </w:rPr>
        <w:t xml:space="preserve"> Furthermore, rather than just lower AEM, the result may also be a shift in</w:t>
      </w:r>
      <w:r>
        <w:rPr>
          <w:rFonts w:ascii="Times New Roman" w:hAnsi="Times New Roman" w:cs="Times New Roman"/>
          <w:sz w:val="24"/>
          <w:szCs w:val="24"/>
        </w:rPr>
        <w:t xml:space="preserve"> focus from AEM to RAM, because </w:t>
      </w:r>
      <w:r w:rsidR="00421929">
        <w:rPr>
          <w:rFonts w:ascii="Times New Roman" w:hAnsi="Times New Roman" w:cs="Times New Roman"/>
          <w:sz w:val="24"/>
          <w:szCs w:val="24"/>
        </w:rPr>
        <w:t xml:space="preserve">the </w:t>
      </w:r>
      <w:r w:rsidR="00FB6352">
        <w:rPr>
          <w:rFonts w:ascii="Times New Roman" w:hAnsi="Times New Roman" w:cs="Times New Roman"/>
          <w:sz w:val="24"/>
          <w:szCs w:val="24"/>
        </w:rPr>
        <w:t xml:space="preserve">strong legal </w:t>
      </w:r>
      <w:r w:rsidR="00421929">
        <w:rPr>
          <w:rFonts w:ascii="Times New Roman" w:hAnsi="Times New Roman" w:cs="Times New Roman"/>
          <w:sz w:val="24"/>
          <w:szCs w:val="24"/>
        </w:rPr>
        <w:t xml:space="preserve">regime constrains firms </w:t>
      </w:r>
      <w:r>
        <w:rPr>
          <w:rFonts w:ascii="Times New Roman" w:hAnsi="Times New Roman" w:cs="Times New Roman"/>
          <w:sz w:val="24"/>
          <w:szCs w:val="24"/>
        </w:rPr>
        <w:t xml:space="preserve">from engaging in AEM. </w:t>
      </w:r>
      <w:r w:rsidR="00A21DD1">
        <w:rPr>
          <w:rFonts w:ascii="Times New Roman" w:hAnsi="Times New Roman" w:cs="Times New Roman"/>
          <w:sz w:val="24"/>
          <w:szCs w:val="24"/>
        </w:rPr>
        <w:t>However, i</w:t>
      </w:r>
      <w:r>
        <w:rPr>
          <w:rFonts w:ascii="Times New Roman" w:hAnsi="Times New Roman" w:cs="Times New Roman"/>
          <w:sz w:val="24"/>
          <w:szCs w:val="24"/>
        </w:rPr>
        <w:t>f RAM becomes more pervasive, there are likely to be more lawsuits (Huang</w:t>
      </w:r>
      <w:r w:rsidR="00C74EF4">
        <w:rPr>
          <w:rFonts w:ascii="Times New Roman" w:hAnsi="Times New Roman" w:cs="Times New Roman"/>
          <w:sz w:val="24"/>
          <w:szCs w:val="24"/>
        </w:rPr>
        <w:t xml:space="preserve"> et al.</w:t>
      </w:r>
      <w:r>
        <w:rPr>
          <w:rFonts w:ascii="Times New Roman" w:hAnsi="Times New Roman" w:cs="Times New Roman"/>
          <w:sz w:val="24"/>
          <w:szCs w:val="24"/>
        </w:rPr>
        <w:t xml:space="preserve">, 2020) and the costs of these lawsuits </w:t>
      </w:r>
      <w:r w:rsidR="00021202">
        <w:rPr>
          <w:rFonts w:ascii="Times New Roman" w:hAnsi="Times New Roman" w:cs="Times New Roman"/>
          <w:sz w:val="24"/>
          <w:szCs w:val="24"/>
        </w:rPr>
        <w:t xml:space="preserve">could be </w:t>
      </w:r>
      <w:r>
        <w:rPr>
          <w:rFonts w:ascii="Times New Roman" w:hAnsi="Times New Roman" w:cs="Times New Roman"/>
          <w:sz w:val="24"/>
          <w:szCs w:val="24"/>
        </w:rPr>
        <w:t>much higher and detrimental to firms’ value.</w:t>
      </w:r>
    </w:p>
    <w:p w14:paraId="20FC229D" w14:textId="5D30A4C1" w:rsidR="008B0EE7" w:rsidRPr="00CD5568"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Given the above discussion</w:t>
      </w:r>
      <w:r w:rsidR="00021202">
        <w:rPr>
          <w:rFonts w:ascii="Times New Roman" w:hAnsi="Times New Roman" w:cs="Times New Roman"/>
          <w:sz w:val="24"/>
          <w:szCs w:val="24"/>
        </w:rPr>
        <w:t>, on balance,</w:t>
      </w:r>
      <w:r>
        <w:rPr>
          <w:rFonts w:ascii="Times New Roman" w:hAnsi="Times New Roman" w:cs="Times New Roman"/>
          <w:sz w:val="24"/>
          <w:szCs w:val="24"/>
        </w:rPr>
        <w:t xml:space="preserve"> we propose the </w:t>
      </w:r>
      <w:r w:rsidRPr="00CD5568">
        <w:rPr>
          <w:rFonts w:ascii="Times New Roman" w:hAnsi="Times New Roman" w:cs="Times New Roman"/>
          <w:sz w:val="24"/>
          <w:szCs w:val="24"/>
        </w:rPr>
        <w:t>following hypothesis:</w:t>
      </w:r>
    </w:p>
    <w:p w14:paraId="03C894E4" w14:textId="4F1BEFDF" w:rsidR="008B0EE7" w:rsidRPr="00CD5568" w:rsidRDefault="008B0EE7" w:rsidP="008B0EE7">
      <w:pPr>
        <w:spacing w:after="0" w:line="480" w:lineRule="auto"/>
        <w:ind w:left="284"/>
        <w:jc w:val="both"/>
        <w:rPr>
          <w:rFonts w:ascii="Times New Roman" w:hAnsi="Times New Roman" w:cs="Times New Roman"/>
          <w:iCs/>
          <w:sz w:val="24"/>
          <w:szCs w:val="24"/>
        </w:rPr>
      </w:pPr>
      <w:r w:rsidRPr="001578CB">
        <w:rPr>
          <w:rFonts w:ascii="Times New Roman" w:hAnsi="Times New Roman" w:cs="Times New Roman"/>
          <w:iCs/>
          <w:sz w:val="24"/>
          <w:szCs w:val="24"/>
        </w:rPr>
        <w:lastRenderedPageBreak/>
        <w:t>H2:</w:t>
      </w:r>
      <w:r w:rsidRPr="00CD5568">
        <w:rPr>
          <w:rFonts w:ascii="Times New Roman" w:hAnsi="Times New Roman" w:cs="Times New Roman"/>
          <w:iCs/>
          <w:sz w:val="24"/>
          <w:szCs w:val="24"/>
        </w:rPr>
        <w:t xml:space="preserve"> All else being equal, </w:t>
      </w:r>
      <w:r w:rsidR="00B55F1D">
        <w:rPr>
          <w:rFonts w:ascii="Times New Roman" w:hAnsi="Times New Roman" w:cs="Times New Roman"/>
          <w:iCs/>
          <w:sz w:val="24"/>
          <w:szCs w:val="24"/>
        </w:rPr>
        <w:t>the negative impact of earnings management, in particular RAM, on post</w:t>
      </w:r>
      <w:r w:rsidR="00BF1F90">
        <w:rPr>
          <w:rFonts w:ascii="Times New Roman" w:hAnsi="Times New Roman" w:cs="Times New Roman"/>
          <w:iCs/>
          <w:sz w:val="24"/>
          <w:szCs w:val="24"/>
        </w:rPr>
        <w:t>-</w:t>
      </w:r>
      <w:r w:rsidR="00B55F1D">
        <w:rPr>
          <w:rFonts w:ascii="Times New Roman" w:hAnsi="Times New Roman" w:cs="Times New Roman"/>
          <w:iCs/>
          <w:sz w:val="24"/>
          <w:szCs w:val="24"/>
        </w:rPr>
        <w:t>SEO performance is greater in countries with a strong legal regime tha</w:t>
      </w:r>
      <w:r w:rsidR="00BF1F90">
        <w:rPr>
          <w:rFonts w:ascii="Times New Roman" w:hAnsi="Times New Roman" w:cs="Times New Roman"/>
          <w:iCs/>
          <w:sz w:val="24"/>
          <w:szCs w:val="24"/>
        </w:rPr>
        <w:t>n</w:t>
      </w:r>
      <w:r w:rsidR="00B55F1D">
        <w:rPr>
          <w:rFonts w:ascii="Times New Roman" w:hAnsi="Times New Roman" w:cs="Times New Roman"/>
          <w:iCs/>
          <w:sz w:val="24"/>
          <w:szCs w:val="24"/>
        </w:rPr>
        <w:t xml:space="preserve"> in other countries.</w:t>
      </w:r>
    </w:p>
    <w:p w14:paraId="4104969E" w14:textId="7DCE24E3" w:rsidR="008B0EE7" w:rsidRPr="00CD5568" w:rsidRDefault="008B0EE7" w:rsidP="008B0EE7">
      <w:pPr>
        <w:spacing w:after="0" w:line="480" w:lineRule="auto"/>
        <w:jc w:val="both"/>
        <w:rPr>
          <w:rFonts w:ascii="Times New Roman" w:hAnsi="Times New Roman" w:cs="Times New Roman"/>
          <w:b/>
          <w:sz w:val="24"/>
          <w:szCs w:val="24"/>
        </w:rPr>
      </w:pPr>
      <w:r w:rsidRPr="00CD5568">
        <w:rPr>
          <w:rFonts w:ascii="Times New Roman" w:hAnsi="Times New Roman" w:cs="Times New Roman"/>
          <w:b/>
          <w:sz w:val="24"/>
          <w:szCs w:val="24"/>
        </w:rPr>
        <w:t xml:space="preserve">3. Research </w:t>
      </w:r>
      <w:r w:rsidR="00E5018D">
        <w:rPr>
          <w:rFonts w:ascii="Times New Roman" w:hAnsi="Times New Roman" w:cs="Times New Roman"/>
          <w:b/>
          <w:sz w:val="24"/>
          <w:szCs w:val="24"/>
        </w:rPr>
        <w:t>d</w:t>
      </w:r>
      <w:r w:rsidRPr="00CD5568">
        <w:rPr>
          <w:rFonts w:ascii="Times New Roman" w:hAnsi="Times New Roman" w:cs="Times New Roman"/>
          <w:b/>
          <w:sz w:val="24"/>
          <w:szCs w:val="24"/>
        </w:rPr>
        <w:t>esign</w:t>
      </w:r>
    </w:p>
    <w:p w14:paraId="6812F02E" w14:textId="77777777" w:rsidR="008B0EE7" w:rsidRPr="00CD5568" w:rsidRDefault="008B0EE7" w:rsidP="008B0EE7">
      <w:pPr>
        <w:spacing w:after="0" w:line="480" w:lineRule="auto"/>
        <w:jc w:val="both"/>
        <w:rPr>
          <w:rFonts w:ascii="Times New Roman" w:eastAsiaTheme="minorEastAsia" w:hAnsi="Times New Roman" w:cs="Times New Roman"/>
          <w:bCs/>
          <w:i/>
          <w:iCs/>
          <w:sz w:val="24"/>
          <w:szCs w:val="24"/>
        </w:rPr>
      </w:pPr>
      <w:r w:rsidRPr="00CD5568">
        <w:rPr>
          <w:rFonts w:ascii="Times New Roman" w:eastAsiaTheme="minorEastAsia" w:hAnsi="Times New Roman" w:cs="Times New Roman"/>
          <w:bCs/>
          <w:i/>
          <w:iCs/>
          <w:sz w:val="24"/>
          <w:szCs w:val="24"/>
        </w:rPr>
        <w:t>3.1. Data and sample selection</w:t>
      </w:r>
    </w:p>
    <w:p w14:paraId="39950B2C" w14:textId="23CD5938" w:rsidR="008B0EE7" w:rsidRDefault="008B0EE7" w:rsidP="001578CB">
      <w:pPr>
        <w:spacing w:after="0" w:line="480" w:lineRule="auto"/>
        <w:jc w:val="both"/>
        <w:rPr>
          <w:rFonts w:ascii="Times New Roman" w:eastAsiaTheme="minorEastAsia" w:hAnsi="Times New Roman" w:cs="Times New Roman"/>
          <w:sz w:val="24"/>
          <w:szCs w:val="24"/>
        </w:rPr>
      </w:pPr>
      <w:r w:rsidRPr="00CD5568">
        <w:rPr>
          <w:rFonts w:ascii="Times New Roman" w:eastAsiaTheme="minorEastAsia" w:hAnsi="Times New Roman" w:cs="Times New Roman"/>
          <w:sz w:val="24"/>
          <w:szCs w:val="24"/>
        </w:rPr>
        <w:t>Our sample covers the period from 200</w:t>
      </w:r>
      <w:r>
        <w:rPr>
          <w:rFonts w:ascii="Times New Roman" w:eastAsiaTheme="minorEastAsia" w:hAnsi="Times New Roman" w:cs="Times New Roman"/>
          <w:sz w:val="24"/>
          <w:szCs w:val="24"/>
        </w:rPr>
        <w:t>5</w:t>
      </w:r>
      <w:r w:rsidRPr="00CD5568">
        <w:rPr>
          <w:rFonts w:ascii="Times New Roman" w:eastAsiaTheme="minorEastAsia" w:hAnsi="Times New Roman" w:cs="Times New Roman"/>
          <w:sz w:val="24"/>
          <w:szCs w:val="24"/>
        </w:rPr>
        <w:t xml:space="preserve"> to 2017 and consists of listed firms from 22 countries. </w:t>
      </w:r>
      <w:r w:rsidR="00EE34D4">
        <w:rPr>
          <w:rFonts w:ascii="Times New Roman" w:eastAsiaTheme="minorEastAsia" w:hAnsi="Times New Roman" w:cs="Times New Roman"/>
          <w:sz w:val="24"/>
          <w:szCs w:val="24"/>
        </w:rPr>
        <w:t xml:space="preserve">The countries included in the sample were chosen </w:t>
      </w:r>
      <w:r>
        <w:rPr>
          <w:rFonts w:ascii="Times New Roman" w:eastAsiaTheme="minorEastAsia" w:hAnsi="Times New Roman" w:cs="Times New Roman"/>
          <w:sz w:val="24"/>
          <w:szCs w:val="24"/>
        </w:rPr>
        <w:t>because they were exposed to the same accounting standards</w:t>
      </w:r>
      <w:r w:rsidR="005431A4">
        <w:rPr>
          <w:rFonts w:ascii="Times New Roman" w:eastAsiaTheme="minorEastAsia" w:hAnsi="Times New Roman" w:cs="Times New Roman"/>
          <w:sz w:val="24"/>
          <w:szCs w:val="24"/>
        </w:rPr>
        <w:t>,</w:t>
      </w:r>
      <w:r w:rsidR="00E453B3">
        <w:rPr>
          <w:rFonts w:ascii="Times New Roman" w:eastAsiaTheme="minorEastAsia" w:hAnsi="Times New Roman" w:cs="Times New Roman"/>
          <w:sz w:val="24"/>
          <w:szCs w:val="24"/>
        </w:rPr>
        <w:t xml:space="preserve"> such as IFRS</w:t>
      </w:r>
      <w:r w:rsidR="00B3622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that produced significant impacts on reporting requirements</w:t>
      </w:r>
      <w:r w:rsidR="00006663">
        <w:rPr>
          <w:rFonts w:ascii="Times New Roman" w:eastAsiaTheme="minorEastAsia" w:hAnsi="Times New Roman" w:cs="Times New Roman"/>
          <w:sz w:val="24"/>
          <w:szCs w:val="24"/>
        </w:rPr>
        <w:t>, information flow a</w:t>
      </w:r>
      <w:r w:rsidR="00C50BB6">
        <w:rPr>
          <w:rFonts w:ascii="Times New Roman" w:eastAsiaTheme="minorEastAsia" w:hAnsi="Times New Roman" w:cs="Times New Roman"/>
          <w:sz w:val="24"/>
          <w:szCs w:val="24"/>
        </w:rPr>
        <w:t>mong participants in the capital market</w:t>
      </w:r>
      <w:r w:rsidR="00651916">
        <w:rPr>
          <w:rFonts w:ascii="Times New Roman" w:eastAsiaTheme="minorEastAsia" w:hAnsi="Times New Roman" w:cs="Times New Roman"/>
          <w:sz w:val="24"/>
          <w:szCs w:val="24"/>
        </w:rPr>
        <w:t xml:space="preserve"> As</w:t>
      </w:r>
      <w:r w:rsidR="00A00085">
        <w:rPr>
          <w:rFonts w:ascii="Times New Roman" w:eastAsiaTheme="minorEastAsia" w:hAnsi="Times New Roman" w:cs="Times New Roman"/>
          <w:sz w:val="24"/>
          <w:szCs w:val="24"/>
        </w:rPr>
        <w:t>hbaugh (2001)</w:t>
      </w:r>
      <w:r w:rsidR="008D359D">
        <w:rPr>
          <w:rFonts w:ascii="Times New Roman" w:eastAsiaTheme="minorEastAsia" w:hAnsi="Times New Roman" w:cs="Times New Roman"/>
          <w:sz w:val="24"/>
          <w:szCs w:val="24"/>
        </w:rPr>
        <w:t>,</w:t>
      </w:r>
      <w:r w:rsidR="00C50BB6">
        <w:rPr>
          <w:rFonts w:ascii="Times New Roman" w:eastAsiaTheme="minorEastAsia" w:hAnsi="Times New Roman" w:cs="Times New Roman"/>
          <w:sz w:val="24"/>
          <w:szCs w:val="24"/>
        </w:rPr>
        <w:t xml:space="preserve"> and disclosure </w:t>
      </w:r>
      <w:r w:rsidR="00A00085">
        <w:rPr>
          <w:rFonts w:ascii="Times New Roman" w:eastAsiaTheme="minorEastAsia" w:hAnsi="Times New Roman" w:cs="Times New Roman"/>
          <w:sz w:val="24"/>
          <w:szCs w:val="24"/>
        </w:rPr>
        <w:t>(Bae</w:t>
      </w:r>
      <w:r w:rsidR="00A60627">
        <w:rPr>
          <w:rFonts w:ascii="Times New Roman" w:eastAsiaTheme="minorEastAsia" w:hAnsi="Times New Roman" w:cs="Times New Roman"/>
          <w:sz w:val="24"/>
          <w:szCs w:val="24"/>
        </w:rPr>
        <w:t xml:space="preserve"> et al., 2008) </w:t>
      </w:r>
      <w:r w:rsidR="00C50BB6">
        <w:rPr>
          <w:rFonts w:ascii="Times New Roman" w:eastAsiaTheme="minorEastAsia" w:hAnsi="Times New Roman" w:cs="Times New Roman"/>
          <w:sz w:val="24"/>
          <w:szCs w:val="24"/>
        </w:rPr>
        <w:t>around equity issues such as SEOs.</w:t>
      </w:r>
      <w:r w:rsidR="00B64D2B">
        <w:rPr>
          <w:rFonts w:ascii="Times New Roman" w:eastAsiaTheme="minorEastAsia" w:hAnsi="Times New Roman" w:cs="Times New Roman"/>
          <w:sz w:val="24"/>
          <w:szCs w:val="24"/>
        </w:rPr>
        <w:t xml:space="preserve"> </w:t>
      </w:r>
      <w:r w:rsidR="00EF2F3B">
        <w:rPr>
          <w:rFonts w:ascii="Times New Roman" w:eastAsiaTheme="minorEastAsia" w:hAnsi="Times New Roman" w:cs="Times New Roman"/>
          <w:sz w:val="24"/>
          <w:szCs w:val="24"/>
        </w:rPr>
        <w:t>The</w:t>
      </w:r>
      <w:r w:rsidR="00B64D2B">
        <w:rPr>
          <w:rFonts w:ascii="Times New Roman" w:eastAsiaTheme="minorEastAsia" w:hAnsi="Times New Roman" w:cs="Times New Roman"/>
          <w:sz w:val="24"/>
          <w:szCs w:val="24"/>
        </w:rPr>
        <w:t xml:space="preserve"> data begins from 2005 as</w:t>
      </w:r>
      <w:r w:rsidR="00F735E6">
        <w:rPr>
          <w:rFonts w:ascii="Times New Roman" w:eastAsiaTheme="minorEastAsia" w:hAnsi="Times New Roman" w:cs="Times New Roman"/>
          <w:sz w:val="24"/>
          <w:szCs w:val="24"/>
        </w:rPr>
        <w:t xml:space="preserve"> from this year</w:t>
      </w:r>
      <w:r w:rsidR="00B64D2B">
        <w:rPr>
          <w:rFonts w:ascii="Times New Roman" w:eastAsiaTheme="minorEastAsia" w:hAnsi="Times New Roman" w:cs="Times New Roman"/>
          <w:sz w:val="24"/>
          <w:szCs w:val="24"/>
        </w:rPr>
        <w:t xml:space="preserve"> </w:t>
      </w:r>
      <w:r w:rsidR="00784BE2">
        <w:rPr>
          <w:rFonts w:ascii="Times New Roman" w:eastAsiaTheme="minorEastAsia" w:hAnsi="Times New Roman" w:cs="Times New Roman"/>
          <w:sz w:val="24"/>
          <w:szCs w:val="24"/>
        </w:rPr>
        <w:t>all the countries in our sample</w:t>
      </w:r>
      <w:r w:rsidR="00540D4D">
        <w:rPr>
          <w:rFonts w:ascii="Times New Roman" w:eastAsiaTheme="minorEastAsia" w:hAnsi="Times New Roman" w:cs="Times New Roman"/>
          <w:sz w:val="24"/>
          <w:szCs w:val="24"/>
        </w:rPr>
        <w:t xml:space="preserve"> use </w:t>
      </w:r>
      <w:r w:rsidR="005F4DA6">
        <w:rPr>
          <w:rFonts w:ascii="Times New Roman" w:eastAsiaTheme="minorEastAsia" w:hAnsi="Times New Roman" w:cs="Times New Roman"/>
          <w:sz w:val="24"/>
          <w:szCs w:val="24"/>
        </w:rPr>
        <w:t>a</w:t>
      </w:r>
      <w:r w:rsidR="00540D4D">
        <w:rPr>
          <w:rFonts w:ascii="Times New Roman" w:eastAsiaTheme="minorEastAsia" w:hAnsi="Times New Roman" w:cs="Times New Roman"/>
          <w:sz w:val="24"/>
          <w:szCs w:val="24"/>
        </w:rPr>
        <w:t xml:space="preserve"> form of international </w:t>
      </w:r>
      <w:r w:rsidR="00A12FA5">
        <w:rPr>
          <w:rFonts w:ascii="Times New Roman" w:eastAsiaTheme="minorEastAsia" w:hAnsi="Times New Roman" w:cs="Times New Roman"/>
          <w:sz w:val="24"/>
          <w:szCs w:val="24"/>
        </w:rPr>
        <w:t>financial reporting</w:t>
      </w:r>
      <w:r w:rsidR="00540D4D">
        <w:rPr>
          <w:rFonts w:ascii="Times New Roman" w:eastAsiaTheme="minorEastAsia" w:hAnsi="Times New Roman" w:cs="Times New Roman"/>
          <w:sz w:val="24"/>
          <w:szCs w:val="24"/>
        </w:rPr>
        <w:t xml:space="preserve"> standards and adoption of international </w:t>
      </w:r>
      <w:r w:rsidR="00B859C5">
        <w:rPr>
          <w:rFonts w:ascii="Times New Roman" w:eastAsiaTheme="minorEastAsia" w:hAnsi="Times New Roman" w:cs="Times New Roman"/>
          <w:sz w:val="24"/>
          <w:szCs w:val="24"/>
        </w:rPr>
        <w:t xml:space="preserve">financial reporting </w:t>
      </w:r>
      <w:r w:rsidR="00540D4D">
        <w:rPr>
          <w:rFonts w:ascii="Times New Roman" w:eastAsiaTheme="minorEastAsia" w:hAnsi="Times New Roman" w:cs="Times New Roman"/>
          <w:sz w:val="24"/>
          <w:szCs w:val="24"/>
        </w:rPr>
        <w:t>standards prompted the strengthening of legal regimes</w:t>
      </w:r>
      <w:r w:rsidR="00540D4D" w:rsidRPr="00D14059">
        <w:rPr>
          <w:rFonts w:ascii="Times New Roman" w:eastAsiaTheme="minorEastAsia" w:hAnsi="Times New Roman" w:cs="Times New Roman"/>
          <w:sz w:val="24"/>
          <w:szCs w:val="24"/>
        </w:rPr>
        <w:t xml:space="preserve">. For example, </w:t>
      </w:r>
      <w:r w:rsidR="00303D4B" w:rsidRPr="001578CB">
        <w:rPr>
          <w:rFonts w:ascii="Times New Roman" w:eastAsiaTheme="minorEastAsia" w:hAnsi="Times New Roman" w:cs="Times New Roman"/>
          <w:sz w:val="24"/>
          <w:szCs w:val="24"/>
        </w:rPr>
        <w:t xml:space="preserve">countries such as </w:t>
      </w:r>
      <w:r w:rsidR="00E5124A" w:rsidRPr="00D14059">
        <w:rPr>
          <w:rFonts w:ascii="Times New Roman" w:eastAsiaTheme="minorEastAsia" w:hAnsi="Times New Roman" w:cs="Times New Roman"/>
          <w:sz w:val="24"/>
          <w:szCs w:val="24"/>
        </w:rPr>
        <w:t>Germany</w:t>
      </w:r>
      <w:r w:rsidR="00303D4B" w:rsidRPr="001578CB">
        <w:rPr>
          <w:rFonts w:ascii="Times New Roman" w:eastAsiaTheme="minorEastAsia" w:hAnsi="Times New Roman" w:cs="Times New Roman"/>
          <w:sz w:val="24"/>
          <w:szCs w:val="24"/>
        </w:rPr>
        <w:t xml:space="preserve"> and Spain </w:t>
      </w:r>
      <w:r w:rsidR="002F0A35" w:rsidRPr="001578CB">
        <w:rPr>
          <w:rFonts w:ascii="Times New Roman" w:eastAsiaTheme="minorEastAsia" w:hAnsi="Times New Roman" w:cs="Times New Roman"/>
          <w:sz w:val="24"/>
          <w:szCs w:val="24"/>
        </w:rPr>
        <w:t>strengthened the level of enforcement</w:t>
      </w:r>
      <w:r w:rsidR="00125E95" w:rsidRPr="001578CB">
        <w:rPr>
          <w:rFonts w:ascii="Times New Roman" w:eastAsiaTheme="minorEastAsia" w:hAnsi="Times New Roman" w:cs="Times New Roman"/>
          <w:sz w:val="24"/>
          <w:szCs w:val="24"/>
        </w:rPr>
        <w:t xml:space="preserve"> around the change in their accounting standards</w:t>
      </w:r>
      <w:r w:rsidR="00AB1444" w:rsidRPr="001578CB">
        <w:rPr>
          <w:rFonts w:ascii="Times New Roman" w:eastAsiaTheme="minorEastAsia" w:hAnsi="Times New Roman" w:cs="Times New Roman"/>
          <w:sz w:val="24"/>
          <w:szCs w:val="24"/>
        </w:rPr>
        <w:t xml:space="preserve"> </w:t>
      </w:r>
      <w:r w:rsidR="009D4006" w:rsidRPr="00D14059">
        <w:rPr>
          <w:rFonts w:ascii="Times New Roman" w:eastAsiaTheme="minorEastAsia" w:hAnsi="Times New Roman" w:cs="Times New Roman"/>
          <w:sz w:val="24"/>
          <w:szCs w:val="24"/>
        </w:rPr>
        <w:t>(</w:t>
      </w:r>
      <w:r w:rsidR="00FD7DAA" w:rsidRPr="00D14059">
        <w:rPr>
          <w:rFonts w:ascii="Times New Roman" w:eastAsiaTheme="minorEastAsia" w:hAnsi="Times New Roman" w:cs="Times New Roman"/>
          <w:sz w:val="24"/>
          <w:szCs w:val="24"/>
        </w:rPr>
        <w:t>Ern</w:t>
      </w:r>
      <w:r w:rsidR="00FD7DAA" w:rsidRPr="00FD7DAA">
        <w:rPr>
          <w:rFonts w:ascii="Times New Roman" w:eastAsiaTheme="minorEastAsia" w:hAnsi="Times New Roman" w:cs="Times New Roman"/>
          <w:sz w:val="24"/>
          <w:szCs w:val="24"/>
        </w:rPr>
        <w:t>stberger</w:t>
      </w:r>
      <w:r w:rsidR="00FD7DAA">
        <w:rPr>
          <w:rFonts w:ascii="Times New Roman" w:eastAsiaTheme="minorEastAsia" w:hAnsi="Times New Roman" w:cs="Times New Roman"/>
          <w:sz w:val="24"/>
          <w:szCs w:val="24"/>
        </w:rPr>
        <w:t xml:space="preserve"> et al.,</w:t>
      </w:r>
      <w:r w:rsidR="009D4006">
        <w:rPr>
          <w:rFonts w:ascii="Times New Roman" w:eastAsiaTheme="minorEastAsia" w:hAnsi="Times New Roman" w:cs="Times New Roman"/>
          <w:sz w:val="24"/>
          <w:szCs w:val="24"/>
        </w:rPr>
        <w:t xml:space="preserve"> 2012; </w:t>
      </w:r>
      <w:r w:rsidR="00AB1444" w:rsidRPr="00AB1444">
        <w:rPr>
          <w:rFonts w:ascii="Times New Roman" w:eastAsiaTheme="minorEastAsia" w:hAnsi="Times New Roman" w:cs="Times New Roman"/>
          <w:sz w:val="24"/>
          <w:szCs w:val="24"/>
        </w:rPr>
        <w:t xml:space="preserve">Kvaal </w:t>
      </w:r>
      <w:r w:rsidR="00597DA6">
        <w:rPr>
          <w:rFonts w:ascii="Times New Roman" w:eastAsiaTheme="minorEastAsia" w:hAnsi="Times New Roman" w:cs="Times New Roman"/>
          <w:sz w:val="24"/>
          <w:szCs w:val="24"/>
        </w:rPr>
        <w:t>and</w:t>
      </w:r>
      <w:r w:rsidR="00AB1444" w:rsidRPr="00AB1444">
        <w:rPr>
          <w:rFonts w:ascii="Times New Roman" w:eastAsiaTheme="minorEastAsia" w:hAnsi="Times New Roman" w:cs="Times New Roman"/>
          <w:sz w:val="24"/>
          <w:szCs w:val="24"/>
        </w:rPr>
        <w:t xml:space="preserve"> Nobes</w:t>
      </w:r>
      <w:r w:rsidR="009D4006">
        <w:rPr>
          <w:rFonts w:ascii="Times New Roman" w:eastAsiaTheme="minorEastAsia" w:hAnsi="Times New Roman" w:cs="Times New Roman"/>
          <w:sz w:val="24"/>
          <w:szCs w:val="24"/>
        </w:rPr>
        <w:t>,</w:t>
      </w:r>
      <w:r w:rsidR="00AB1444" w:rsidRPr="00AB1444">
        <w:rPr>
          <w:rFonts w:ascii="Times New Roman" w:eastAsiaTheme="minorEastAsia" w:hAnsi="Times New Roman" w:cs="Times New Roman"/>
          <w:sz w:val="24"/>
          <w:szCs w:val="24"/>
        </w:rPr>
        <w:t xml:space="preserve"> 2010)</w:t>
      </w:r>
      <w:r w:rsidR="009D400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CD5568">
        <w:rPr>
          <w:rFonts w:ascii="Times New Roman" w:eastAsiaTheme="minorEastAsia" w:hAnsi="Times New Roman" w:cs="Times New Roman"/>
          <w:sz w:val="24"/>
          <w:szCs w:val="24"/>
        </w:rPr>
        <w:t xml:space="preserve">We obtain data on SEOs from the Thomson Reuters SDC database. We match the SDC data with financial data from Compustat using SEDOL codes. </w:t>
      </w:r>
      <w:r w:rsidR="00013F27">
        <w:rPr>
          <w:rFonts w:ascii="Times New Roman" w:eastAsiaTheme="minorEastAsia" w:hAnsi="Times New Roman" w:cs="Times New Roman"/>
          <w:sz w:val="24"/>
          <w:szCs w:val="24"/>
        </w:rPr>
        <w:t>First</w:t>
      </w:r>
      <w:r w:rsidR="007E610A">
        <w:rPr>
          <w:rFonts w:ascii="Times New Roman" w:eastAsiaTheme="minorEastAsia" w:hAnsi="Times New Roman" w:cs="Times New Roman"/>
          <w:sz w:val="24"/>
          <w:szCs w:val="24"/>
        </w:rPr>
        <w:t>,</w:t>
      </w:r>
      <w:r w:rsidR="00013F27">
        <w:rPr>
          <w:rFonts w:ascii="Times New Roman" w:eastAsiaTheme="minorEastAsia" w:hAnsi="Times New Roman" w:cs="Times New Roman"/>
          <w:sz w:val="24"/>
          <w:szCs w:val="24"/>
        </w:rPr>
        <w:t xml:space="preserve"> we exclude firms with missing </w:t>
      </w:r>
      <w:r w:rsidR="007E610A">
        <w:rPr>
          <w:rFonts w:ascii="Times New Roman" w:eastAsiaTheme="minorEastAsia" w:hAnsi="Times New Roman" w:cs="Times New Roman"/>
          <w:sz w:val="24"/>
          <w:szCs w:val="24"/>
        </w:rPr>
        <w:t>SEDOL codes</w:t>
      </w:r>
      <w:r w:rsidR="00F836D5">
        <w:rPr>
          <w:rFonts w:ascii="Times New Roman" w:eastAsiaTheme="minorEastAsia" w:hAnsi="Times New Roman" w:cs="Times New Roman"/>
          <w:sz w:val="24"/>
          <w:szCs w:val="24"/>
        </w:rPr>
        <w:t xml:space="preserve"> and duplicated and missing observations</w:t>
      </w:r>
      <w:r w:rsidR="00632B57">
        <w:rPr>
          <w:rFonts w:ascii="Times New Roman" w:eastAsiaTheme="minorEastAsia" w:hAnsi="Times New Roman" w:cs="Times New Roman"/>
          <w:sz w:val="24"/>
          <w:szCs w:val="24"/>
        </w:rPr>
        <w:t>. Second</w:t>
      </w:r>
      <w:r w:rsidR="00405182">
        <w:rPr>
          <w:rFonts w:ascii="Times New Roman" w:eastAsiaTheme="minorEastAsia" w:hAnsi="Times New Roman" w:cs="Times New Roman"/>
          <w:sz w:val="24"/>
          <w:szCs w:val="24"/>
        </w:rPr>
        <w:t>,</w:t>
      </w:r>
      <w:r w:rsidR="00632B57">
        <w:rPr>
          <w:rFonts w:ascii="Times New Roman" w:eastAsiaTheme="minorEastAsia" w:hAnsi="Times New Roman" w:cs="Times New Roman"/>
          <w:sz w:val="24"/>
          <w:szCs w:val="24"/>
        </w:rPr>
        <w:t xml:space="preserve"> </w:t>
      </w:r>
      <w:r w:rsidR="00876708">
        <w:rPr>
          <w:rFonts w:ascii="Times New Roman" w:eastAsiaTheme="minorEastAsia" w:hAnsi="Times New Roman" w:cs="Times New Roman"/>
          <w:sz w:val="24"/>
          <w:szCs w:val="24"/>
        </w:rPr>
        <w:t xml:space="preserve">we </w:t>
      </w:r>
      <w:r w:rsidR="00405182" w:rsidRPr="00CD5568">
        <w:rPr>
          <w:rFonts w:ascii="Times New Roman" w:eastAsiaTheme="minorEastAsia" w:hAnsi="Times New Roman" w:cs="Times New Roman"/>
          <w:sz w:val="24"/>
          <w:szCs w:val="24"/>
        </w:rPr>
        <w:t>exclude utilities and financial institutions from our sample</w:t>
      </w:r>
      <w:r w:rsidR="00405182">
        <w:rPr>
          <w:rFonts w:ascii="Times New Roman" w:eastAsiaTheme="minorEastAsia" w:hAnsi="Times New Roman" w:cs="Times New Roman"/>
          <w:sz w:val="24"/>
          <w:szCs w:val="24"/>
        </w:rPr>
        <w:t>,</w:t>
      </w:r>
      <w:r w:rsidR="00405182" w:rsidRPr="00CD5568">
        <w:rPr>
          <w:rFonts w:ascii="Times New Roman" w:eastAsiaTheme="minorEastAsia" w:hAnsi="Times New Roman" w:cs="Times New Roman"/>
          <w:sz w:val="24"/>
          <w:szCs w:val="24"/>
        </w:rPr>
        <w:t xml:space="preserve"> because of regulatory differences and </w:t>
      </w:r>
      <w:r w:rsidR="00876708">
        <w:rPr>
          <w:rFonts w:ascii="Times New Roman" w:eastAsiaTheme="minorEastAsia" w:hAnsi="Times New Roman" w:cs="Times New Roman"/>
          <w:sz w:val="24"/>
          <w:szCs w:val="24"/>
        </w:rPr>
        <w:t xml:space="preserve">also </w:t>
      </w:r>
      <w:r w:rsidR="00405182" w:rsidRPr="00CD5568">
        <w:rPr>
          <w:rFonts w:ascii="Times New Roman" w:eastAsiaTheme="minorEastAsia" w:hAnsi="Times New Roman" w:cs="Times New Roman"/>
          <w:sz w:val="24"/>
          <w:szCs w:val="24"/>
        </w:rPr>
        <w:t>differences in their business model and financial reporting requirements.</w:t>
      </w:r>
      <w:r w:rsidR="00405182">
        <w:rPr>
          <w:rFonts w:ascii="Times New Roman" w:eastAsiaTheme="minorEastAsia" w:hAnsi="Times New Roman" w:cs="Times New Roman"/>
          <w:sz w:val="24"/>
          <w:szCs w:val="24"/>
        </w:rPr>
        <w:t xml:space="preserve"> Lastly, </w:t>
      </w:r>
      <w:r w:rsidR="00632B57">
        <w:rPr>
          <w:rFonts w:ascii="Times New Roman" w:eastAsiaTheme="minorEastAsia" w:hAnsi="Times New Roman" w:cs="Times New Roman"/>
          <w:sz w:val="24"/>
          <w:szCs w:val="24"/>
        </w:rPr>
        <w:t>we</w:t>
      </w:r>
      <w:r w:rsidRPr="00CD5568">
        <w:rPr>
          <w:rFonts w:ascii="Times New Roman" w:eastAsiaTheme="minorEastAsia" w:hAnsi="Times New Roman" w:cs="Times New Roman"/>
          <w:sz w:val="24"/>
          <w:szCs w:val="24"/>
        </w:rPr>
        <w:t xml:space="preserve"> exclude non-public offerings, rights offers, unit offers, warrants, combined offerings of equity and other securities and offerings of non-ordinary shares. </w:t>
      </w:r>
      <w:r w:rsidR="000B04F1">
        <w:rPr>
          <w:rFonts w:ascii="Times New Roman" w:eastAsiaTheme="minorEastAsia" w:hAnsi="Times New Roman" w:cs="Times New Roman"/>
          <w:sz w:val="24"/>
          <w:szCs w:val="24"/>
        </w:rPr>
        <w:t>Our final</w:t>
      </w:r>
      <w:r w:rsidRPr="00CD5568">
        <w:rPr>
          <w:rFonts w:ascii="Times New Roman" w:eastAsiaTheme="minorEastAsia" w:hAnsi="Times New Roman" w:cs="Times New Roman"/>
          <w:sz w:val="24"/>
          <w:szCs w:val="24"/>
        </w:rPr>
        <w:t xml:space="preserve"> sample </w:t>
      </w:r>
      <w:r w:rsidR="000B04F1">
        <w:rPr>
          <w:rFonts w:ascii="Times New Roman" w:eastAsiaTheme="minorEastAsia" w:hAnsi="Times New Roman" w:cs="Times New Roman"/>
          <w:sz w:val="24"/>
          <w:szCs w:val="24"/>
        </w:rPr>
        <w:t>is</w:t>
      </w:r>
      <w:r w:rsidRPr="00CD556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1</w:t>
      </w:r>
      <w:r w:rsidRPr="00CD556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764</w:t>
      </w:r>
      <w:r w:rsidRPr="00CD5568">
        <w:rPr>
          <w:rFonts w:ascii="Times New Roman" w:eastAsiaTheme="minorEastAsia" w:hAnsi="Times New Roman" w:cs="Times New Roman"/>
          <w:sz w:val="24"/>
          <w:szCs w:val="24"/>
        </w:rPr>
        <w:t xml:space="preserve"> firm-year observations. </w:t>
      </w:r>
      <w:r w:rsidR="008878E9" w:rsidRPr="00CD5568">
        <w:rPr>
          <w:rFonts w:ascii="Times New Roman" w:eastAsiaTheme="minorEastAsia" w:hAnsi="Times New Roman" w:cs="Times New Roman"/>
          <w:sz w:val="24"/>
          <w:szCs w:val="24"/>
        </w:rPr>
        <w:t>All</w:t>
      </w:r>
      <w:r w:rsidRPr="00CD5568">
        <w:rPr>
          <w:rFonts w:ascii="Times New Roman" w:eastAsiaTheme="minorEastAsia" w:hAnsi="Times New Roman" w:cs="Times New Roman"/>
          <w:sz w:val="24"/>
          <w:szCs w:val="24"/>
        </w:rPr>
        <w:t xml:space="preserve"> the variables are defined in </w:t>
      </w:r>
      <w:r w:rsidR="0026583A">
        <w:rPr>
          <w:rFonts w:ascii="Times New Roman" w:eastAsiaTheme="minorEastAsia" w:hAnsi="Times New Roman" w:cs="Times New Roman"/>
          <w:sz w:val="24"/>
          <w:szCs w:val="24"/>
        </w:rPr>
        <w:t xml:space="preserve">the </w:t>
      </w:r>
      <w:r w:rsidRPr="00CD5568">
        <w:rPr>
          <w:rFonts w:ascii="Times New Roman" w:eastAsiaTheme="minorEastAsia" w:hAnsi="Times New Roman" w:cs="Times New Roman"/>
          <w:sz w:val="24"/>
          <w:szCs w:val="24"/>
        </w:rPr>
        <w:t>Appendix.</w:t>
      </w:r>
    </w:p>
    <w:p w14:paraId="0DD0CA9E" w14:textId="77777777" w:rsidR="00260214" w:rsidRDefault="00260214" w:rsidP="00260214">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1</w:t>
      </w:r>
      <w:r>
        <w:rPr>
          <w:rFonts w:ascii="Times New Roman" w:hAnsi="Times New Roman" w:cs="Times New Roman"/>
          <w:b/>
          <w:bCs/>
          <w:iCs/>
          <w:sz w:val="24"/>
          <w:szCs w:val="24"/>
        </w:rPr>
        <w:t xml:space="preserve"> about here]</w:t>
      </w:r>
    </w:p>
    <w:p w14:paraId="25DA777E" w14:textId="1E24D5A2" w:rsidR="008B0EE7" w:rsidRPr="00435F60" w:rsidRDefault="008B0EE7" w:rsidP="008B0EE7">
      <w:pPr>
        <w:spacing w:after="0" w:line="480" w:lineRule="auto"/>
        <w:jc w:val="both"/>
        <w:rPr>
          <w:rFonts w:ascii="Times New Roman" w:eastAsiaTheme="minorEastAsia" w:hAnsi="Times New Roman" w:cs="Times New Roman"/>
          <w:i/>
          <w:sz w:val="24"/>
          <w:szCs w:val="24"/>
        </w:rPr>
      </w:pPr>
      <w:r w:rsidRPr="00435F60">
        <w:rPr>
          <w:rFonts w:ascii="Times New Roman" w:eastAsiaTheme="minorEastAsia" w:hAnsi="Times New Roman" w:cs="Times New Roman"/>
          <w:i/>
          <w:sz w:val="24"/>
          <w:szCs w:val="24"/>
        </w:rPr>
        <w:t>3.</w:t>
      </w:r>
      <w:r w:rsidR="008B1205">
        <w:rPr>
          <w:rFonts w:ascii="Times New Roman" w:eastAsiaTheme="minorEastAsia" w:hAnsi="Times New Roman" w:cs="Times New Roman"/>
          <w:i/>
          <w:sz w:val="24"/>
          <w:szCs w:val="24"/>
        </w:rPr>
        <w:t>2.</w:t>
      </w:r>
      <w:r w:rsidRPr="00435F60">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Regression</w:t>
      </w:r>
      <w:r w:rsidRPr="00435F60">
        <w:rPr>
          <w:rFonts w:ascii="Times New Roman" w:eastAsiaTheme="minorEastAsia" w:hAnsi="Times New Roman" w:cs="Times New Roman"/>
          <w:i/>
          <w:sz w:val="24"/>
          <w:szCs w:val="24"/>
        </w:rPr>
        <w:t xml:space="preserve"> models</w:t>
      </w:r>
    </w:p>
    <w:p w14:paraId="4926F4D0" w14:textId="638916F4" w:rsidR="008B0EE7" w:rsidRPr="00435F60" w:rsidRDefault="00EF49C5" w:rsidP="008B0EE7">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test</w:t>
      </w:r>
      <w:r w:rsidR="00205CFF">
        <w:rPr>
          <w:rFonts w:ascii="Times New Roman" w:eastAsiaTheme="minorEastAsia" w:hAnsi="Times New Roman" w:cs="Times New Roman"/>
          <w:sz w:val="24"/>
          <w:szCs w:val="24"/>
        </w:rPr>
        <w:t xml:space="preserve"> our </w:t>
      </w:r>
      <w:r w:rsidR="001578CB">
        <w:rPr>
          <w:rFonts w:ascii="Times New Roman" w:eastAsiaTheme="minorEastAsia" w:hAnsi="Times New Roman" w:cs="Times New Roman"/>
          <w:sz w:val="24"/>
          <w:szCs w:val="24"/>
        </w:rPr>
        <w:t>hypotheses,</w:t>
      </w:r>
      <w:r w:rsidR="00205CFF">
        <w:rPr>
          <w:rFonts w:ascii="Times New Roman" w:eastAsiaTheme="minorEastAsia" w:hAnsi="Times New Roman" w:cs="Times New Roman"/>
          <w:sz w:val="24"/>
          <w:szCs w:val="24"/>
        </w:rPr>
        <w:t xml:space="preserve"> we use OLS to estimate</w:t>
      </w:r>
      <w:r w:rsidR="008B0EE7">
        <w:rPr>
          <w:rFonts w:ascii="Times New Roman" w:eastAsiaTheme="minorEastAsia" w:hAnsi="Times New Roman" w:cs="Times New Roman"/>
          <w:sz w:val="24"/>
          <w:szCs w:val="24"/>
        </w:rPr>
        <w:t xml:space="preserve"> the following regression model</w:t>
      </w:r>
      <w:r w:rsidR="00D43F66">
        <w:rPr>
          <w:rFonts w:ascii="Times New Roman" w:eastAsiaTheme="minorEastAsia" w:hAnsi="Times New Roman" w:cs="Times New Roman"/>
          <w:sz w:val="24"/>
          <w:szCs w:val="24"/>
        </w:rPr>
        <w:t>s</w:t>
      </w:r>
      <w:r w:rsidR="008B0EE7" w:rsidRPr="008062C3">
        <w:rPr>
          <w:rFonts w:ascii="Times New Roman" w:eastAsiaTheme="minorEastAsia" w:hAnsi="Times New Roman" w:cs="Times New Roman"/>
          <w:sz w:val="24"/>
          <w:szCs w:val="24"/>
        </w:rPr>
        <w:t>.</w:t>
      </w:r>
    </w:p>
    <w:p w14:paraId="768AB9CF" w14:textId="3F26EA4A" w:rsidR="008B0EE7" w:rsidRPr="001578CB" w:rsidRDefault="00000000" w:rsidP="008B0EE7">
      <w:pPr>
        <w:spacing w:after="0" w:line="240" w:lineRule="auto"/>
        <w:jc w:val="both"/>
        <w:rPr>
          <w:rFonts w:ascii="Times New Roman" w:eastAsiaTheme="minorEastAsia"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rPr>
              <m:t>SEOP</m:t>
            </m:r>
          </m:e>
          <m:sub>
            <m:r>
              <w:rPr>
                <w:rFonts w:ascii="Cambria Math" w:eastAsia="Calibri" w:hAnsi="Cambria Math" w:cs="Times New Roman"/>
              </w:rPr>
              <m:t>it+1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0</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m:t>
            </m:r>
          </m:sub>
        </m:sSub>
        <m:sSub>
          <m:sSubPr>
            <m:ctrlPr>
              <w:rPr>
                <w:rFonts w:ascii="Cambria Math" w:eastAsia="Calibri" w:hAnsi="Cambria Math" w:cs="Times New Roman"/>
                <w:i/>
              </w:rPr>
            </m:ctrlPr>
          </m:sSubPr>
          <m:e>
            <m:r>
              <w:rPr>
                <w:rFonts w:ascii="Cambria Math" w:eastAsia="Calibri" w:hAnsi="Cambria Math" w:cs="Times New Roman"/>
              </w:rPr>
              <m:t>AEM</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2</m:t>
            </m:r>
          </m:sub>
        </m:sSub>
        <m:sSub>
          <m:sSubPr>
            <m:ctrlPr>
              <w:rPr>
                <w:rFonts w:ascii="Cambria Math" w:eastAsia="Calibri" w:hAnsi="Cambria Math" w:cs="Times New Roman"/>
                <w:i/>
              </w:rPr>
            </m:ctrlPr>
          </m:sSubPr>
          <m:e>
            <m:r>
              <w:rPr>
                <w:rFonts w:ascii="Cambria Math" w:eastAsia="Calibri" w:hAnsi="Cambria Math" w:cs="Times New Roman"/>
              </w:rPr>
              <m:t>RAM</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3</m:t>
            </m:r>
          </m:sub>
        </m:sSub>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4</m:t>
            </m:r>
          </m:sub>
        </m:sSub>
        <m:sSub>
          <m:sSubPr>
            <m:ctrlPr>
              <w:rPr>
                <w:rFonts w:ascii="Cambria Math" w:eastAsia="Calibri" w:hAnsi="Cambria Math" w:cs="Times New Roman"/>
                <w:i/>
              </w:rPr>
            </m:ctrlPr>
          </m:sSubPr>
          <m:e>
            <m:r>
              <w:rPr>
                <w:rFonts w:ascii="Cambria Math" w:eastAsia="Calibri" w:hAnsi="Cambria Math" w:cs="Times New Roman"/>
              </w:rPr>
              <m:t>SIZE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5</m:t>
            </m:r>
          </m:sub>
        </m:sSub>
        <m:sSub>
          <m:sSubPr>
            <m:ctrlPr>
              <w:rPr>
                <w:rFonts w:ascii="Cambria Math" w:eastAsia="Calibri" w:hAnsi="Cambria Math" w:cs="Times New Roman"/>
                <w:i/>
              </w:rPr>
            </m:ctrlPr>
          </m:sSubPr>
          <m:e>
            <m:r>
              <w:rPr>
                <w:rFonts w:ascii="Cambria Math" w:eastAsia="Calibri" w:hAnsi="Cambria Math" w:cs="Times New Roman"/>
              </w:rPr>
              <m:t>LEV</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6</m:t>
            </m:r>
          </m:sub>
        </m:sSub>
        <m:sSub>
          <m:sSubPr>
            <m:ctrlPr>
              <w:rPr>
                <w:rFonts w:ascii="Cambria Math" w:eastAsia="Calibri" w:hAnsi="Cambria Math" w:cs="Times New Roman"/>
                <w:i/>
              </w:rPr>
            </m:ctrlPr>
          </m:sSubPr>
          <m:e>
            <m:r>
              <w:rPr>
                <w:rFonts w:ascii="Cambria Math" w:eastAsia="Calibri" w:hAnsi="Cambria Math" w:cs="Times New Roman"/>
              </w:rPr>
              <m:t>AGE</m:t>
            </m:r>
          </m:e>
          <m:sub>
            <m:r>
              <w:rPr>
                <w:rFonts w:ascii="Cambria Math" w:eastAsia="Calibri" w:hAnsi="Cambria Math" w:cs="Times New Roman"/>
              </w:rPr>
              <m:t>it</m:t>
            </m:r>
          </m:sub>
        </m:sSub>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7</m:t>
            </m:r>
          </m:sub>
        </m:sSub>
        <m:sSub>
          <m:sSubPr>
            <m:ctrlPr>
              <w:rPr>
                <w:rFonts w:ascii="Cambria Math" w:eastAsia="Calibri" w:hAnsi="Cambria Math" w:cs="Times New Roman"/>
                <w:i/>
              </w:rPr>
            </m:ctrlPr>
          </m:sSubPr>
          <m:e>
            <m:r>
              <w:rPr>
                <w:rFonts w:ascii="Cambria Math" w:eastAsia="Calibri" w:hAnsi="Cambria Math" w:cs="Times New Roman"/>
              </w:rPr>
              <m:t>CAPEX</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8</m:t>
            </m:r>
          </m:sub>
        </m:sSub>
        <m:sSub>
          <m:sSubPr>
            <m:ctrlPr>
              <w:rPr>
                <w:rFonts w:ascii="Cambria Math" w:eastAsia="Calibri" w:hAnsi="Cambria Math" w:cs="Times New Roman"/>
                <w:i/>
              </w:rPr>
            </m:ctrlPr>
          </m:sSubPr>
          <m:e>
            <m:r>
              <w:rPr>
                <w:rFonts w:ascii="Cambria Math" w:eastAsia="Calibri" w:hAnsi="Cambria Math" w:cs="Times New Roman"/>
              </w:rPr>
              <m:t>CASH</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9</m:t>
            </m:r>
          </m:sub>
        </m:sSub>
        <m:sSub>
          <m:sSubPr>
            <m:ctrlPr>
              <w:rPr>
                <w:rFonts w:ascii="Cambria Math" w:eastAsia="Calibri" w:hAnsi="Cambria Math" w:cs="Times New Roman"/>
                <w:i/>
              </w:rPr>
            </m:ctrlPr>
          </m:sSubPr>
          <m:e>
            <m:r>
              <w:rPr>
                <w:rFonts w:ascii="Cambria Math" w:eastAsia="Calibri" w:hAnsi="Cambria Math" w:cs="Times New Roman"/>
              </w:rPr>
              <m:t>MTB</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10</m:t>
            </m:r>
          </m:sub>
        </m:sSub>
        <m:sSub>
          <m:sSubPr>
            <m:ctrlPr>
              <w:rPr>
                <w:rFonts w:ascii="Cambria Math" w:eastAsia="Calibri" w:hAnsi="Cambria Math" w:cs="Times New Roman"/>
                <w:i/>
              </w:rPr>
            </m:ctrlPr>
          </m:sSubPr>
          <m:e>
            <m:r>
              <w:rPr>
                <w:rFonts w:ascii="Cambria Math" w:eastAsia="Calibri" w:hAnsi="Cambria Math" w:cs="Times New Roman"/>
              </w:rPr>
              <m:t>GFC</m:t>
            </m:r>
          </m:e>
          <m:sub>
            <m:r>
              <w:rPr>
                <w:rFonts w:ascii="Cambria Math" w:eastAsia="Calibri" w:hAnsi="Cambria Math" w:cs="Times New Roman"/>
              </w:rPr>
              <m:t>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11</m:t>
            </m:r>
          </m:sub>
        </m:sSub>
        <m:sSub>
          <m:sSubPr>
            <m:ctrlPr>
              <w:rPr>
                <w:rFonts w:ascii="Cambria Math" w:eastAsia="Calibri" w:hAnsi="Cambria Math" w:cs="Times New Roman"/>
                <w:i/>
              </w:rPr>
            </m:ctrlPr>
          </m:sSubPr>
          <m:e>
            <m:r>
              <w:rPr>
                <w:rFonts w:ascii="Cambria Math" w:eastAsia="Calibri" w:hAnsi="Cambria Math" w:cs="Times New Roman"/>
              </w:rPr>
              <m:t>GDP</m:t>
            </m:r>
          </m:e>
          <m:sub>
            <m:r>
              <w:rPr>
                <w:rFonts w:ascii="Cambria Math" w:eastAsia="Calibri" w:hAnsi="Cambria Math" w:cs="Times New Roman"/>
              </w:rPr>
              <m:t>jt</m:t>
            </m:r>
          </m:sub>
        </m:sSub>
        <m:r>
          <w:rPr>
            <w:rFonts w:ascii="Cambria Math" w:eastAsia="Calibri" w:hAnsi="Cambria Math" w:cs="Times New Roman"/>
          </w:rPr>
          <m:t>+FE+</m:t>
        </m:r>
        <m:sSub>
          <m:sSubPr>
            <m:ctrlPr>
              <w:rPr>
                <w:rFonts w:ascii="Cambria Math" w:eastAsia="Calibri" w:hAnsi="Cambria Math" w:cs="Times New Roman"/>
                <w:i/>
              </w:rPr>
            </m:ctrlPr>
          </m:sSubPr>
          <m:e>
            <m:r>
              <w:rPr>
                <w:rFonts w:ascii="Cambria Math" w:eastAsia="Calibri" w:hAnsi="Cambria Math" w:cs="Times New Roman"/>
              </w:rPr>
              <m:t>ε</m:t>
            </m:r>
          </m:e>
          <m:sub>
            <m:r>
              <w:rPr>
                <w:rFonts w:ascii="Cambria Math" w:eastAsia="Calibri" w:hAnsi="Cambria Math" w:cs="Times New Roman"/>
              </w:rPr>
              <m:t>it</m:t>
            </m:r>
          </m:sub>
        </m:sSub>
      </m:oMath>
      <w:r w:rsidR="008B0EE7" w:rsidRPr="001578CB">
        <w:rPr>
          <w:rFonts w:ascii="Times New Roman" w:eastAsiaTheme="minorEastAsia" w:hAnsi="Times New Roman" w:cs="Times New Roman"/>
        </w:rPr>
        <w:tab/>
      </w:r>
      <w:r w:rsidR="00591908">
        <w:rPr>
          <w:rFonts w:ascii="Times New Roman" w:eastAsiaTheme="minorEastAsia" w:hAnsi="Times New Roman" w:cs="Times New Roman"/>
        </w:rPr>
        <w:tab/>
      </w:r>
      <w:r w:rsidR="008B0EE7" w:rsidRPr="001578CB">
        <w:rPr>
          <w:rFonts w:ascii="Times New Roman" w:eastAsiaTheme="minorEastAsia" w:hAnsi="Times New Roman" w:cs="Times New Roman"/>
        </w:rPr>
        <w:t>(1)</w:t>
      </w:r>
    </w:p>
    <w:p w14:paraId="430729C5" w14:textId="77777777" w:rsidR="008B0EE7" w:rsidRPr="001578CB" w:rsidRDefault="008B0EE7" w:rsidP="008B0EE7">
      <w:pPr>
        <w:spacing w:after="0" w:line="240" w:lineRule="auto"/>
        <w:jc w:val="both"/>
        <w:rPr>
          <w:rFonts w:ascii="Times New Roman" w:eastAsiaTheme="minorEastAsia" w:hAnsi="Times New Roman" w:cs="Times New Roman"/>
        </w:rPr>
      </w:pPr>
    </w:p>
    <w:p w14:paraId="04DA2FE1" w14:textId="12417DF7" w:rsidR="008B0EE7" w:rsidRPr="001578CB" w:rsidRDefault="00000000" w:rsidP="008B0EE7">
      <w:pPr>
        <w:spacing w:after="0" w:line="24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SEOP</m:t>
            </m:r>
          </m:e>
          <m:sub>
            <m:r>
              <w:rPr>
                <w:rFonts w:ascii="Cambria Math" w:eastAsiaTheme="minorEastAsia" w:hAnsi="Cambria Math" w:cs="Times New Roman"/>
              </w:rPr>
              <m:t>it+1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0</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m:t>
            </m:r>
          </m:sub>
        </m:sSub>
        <m:sSub>
          <m:sSubPr>
            <m:ctrlPr>
              <w:rPr>
                <w:rFonts w:ascii="Cambria Math" w:eastAsia="Calibri" w:hAnsi="Cambria Math" w:cs="Times New Roman"/>
                <w:i/>
              </w:rPr>
            </m:ctrlPr>
          </m:sSubPr>
          <m:e>
            <m:r>
              <w:rPr>
                <w:rFonts w:ascii="Cambria Math" w:eastAsia="Calibri" w:hAnsi="Cambria Math" w:cs="Times New Roman"/>
              </w:rPr>
              <m:t>TAR</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2</m:t>
            </m:r>
          </m:sub>
        </m:sSub>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2</m:t>
            </m:r>
          </m:sub>
        </m:sSub>
        <m:sSub>
          <m:sSubPr>
            <m:ctrlPr>
              <w:rPr>
                <w:rFonts w:ascii="Cambria Math" w:eastAsia="Calibri" w:hAnsi="Cambria Math" w:cs="Times New Roman"/>
                <w:i/>
              </w:rPr>
            </m:ctrlPr>
          </m:sSubPr>
          <m:e>
            <m:r>
              <w:rPr>
                <w:rFonts w:ascii="Cambria Math" w:eastAsia="Calibri" w:hAnsi="Cambria Math" w:cs="Times New Roman"/>
              </w:rPr>
              <m:t>SIZE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3</m:t>
            </m:r>
          </m:sub>
        </m:sSub>
        <m:sSub>
          <m:sSubPr>
            <m:ctrlPr>
              <w:rPr>
                <w:rFonts w:ascii="Cambria Math" w:eastAsia="Calibri" w:hAnsi="Cambria Math" w:cs="Times New Roman"/>
                <w:i/>
              </w:rPr>
            </m:ctrlPr>
          </m:sSubPr>
          <m:e>
            <m:r>
              <w:rPr>
                <w:rFonts w:ascii="Cambria Math" w:eastAsia="Calibri" w:hAnsi="Cambria Math" w:cs="Times New Roman"/>
              </w:rPr>
              <m:t>LEV</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4</m:t>
            </m:r>
          </m:sub>
        </m:sSub>
        <m:sSub>
          <m:sSubPr>
            <m:ctrlPr>
              <w:rPr>
                <w:rFonts w:ascii="Cambria Math" w:eastAsia="Calibri" w:hAnsi="Cambria Math" w:cs="Times New Roman"/>
                <w:i/>
              </w:rPr>
            </m:ctrlPr>
          </m:sSubPr>
          <m:e>
            <m:r>
              <w:rPr>
                <w:rFonts w:ascii="Cambria Math" w:eastAsia="Calibri" w:hAnsi="Cambria Math" w:cs="Times New Roman"/>
              </w:rPr>
              <m:t>AGE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5</m:t>
            </m:r>
          </m:sub>
        </m:sSub>
        <m:sSub>
          <m:sSubPr>
            <m:ctrlPr>
              <w:rPr>
                <w:rFonts w:ascii="Cambria Math" w:eastAsia="Calibri" w:hAnsi="Cambria Math" w:cs="Times New Roman"/>
                <w:i/>
              </w:rPr>
            </m:ctrlPr>
          </m:sSubPr>
          <m:e>
            <m:r>
              <w:rPr>
                <w:rFonts w:ascii="Cambria Math" w:eastAsia="Calibri" w:hAnsi="Cambria Math" w:cs="Times New Roman"/>
              </w:rPr>
              <m:t>CAPEX</m:t>
            </m:r>
          </m:e>
          <m:sub>
            <m:r>
              <w:rPr>
                <w:rFonts w:ascii="Cambria Math" w:eastAsia="Calibri" w:hAnsi="Cambria Math" w:cs="Times New Roman"/>
              </w:rPr>
              <m:t>it</m:t>
            </m:r>
          </m:sub>
        </m:sSub>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6</m:t>
            </m:r>
          </m:sub>
        </m:sSub>
        <m:sSub>
          <m:sSubPr>
            <m:ctrlPr>
              <w:rPr>
                <w:rFonts w:ascii="Cambria Math" w:eastAsia="Calibri" w:hAnsi="Cambria Math" w:cs="Times New Roman"/>
                <w:i/>
              </w:rPr>
            </m:ctrlPr>
          </m:sSubPr>
          <m:e>
            <m:r>
              <w:rPr>
                <w:rFonts w:ascii="Cambria Math" w:eastAsia="Calibri" w:hAnsi="Cambria Math" w:cs="Times New Roman"/>
              </w:rPr>
              <m:t>CASH</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7</m:t>
            </m:r>
          </m:sub>
        </m:sSub>
        <m:sSub>
          <m:sSubPr>
            <m:ctrlPr>
              <w:rPr>
                <w:rFonts w:ascii="Cambria Math" w:eastAsia="Calibri" w:hAnsi="Cambria Math" w:cs="Times New Roman"/>
                <w:i/>
              </w:rPr>
            </m:ctrlPr>
          </m:sSubPr>
          <m:e>
            <m:r>
              <w:rPr>
                <w:rFonts w:ascii="Cambria Math" w:eastAsia="Calibri" w:hAnsi="Cambria Math" w:cs="Times New Roman"/>
              </w:rPr>
              <m:t>MTB</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8</m:t>
            </m:r>
          </m:sub>
        </m:sSub>
        <m:sSub>
          <m:sSubPr>
            <m:ctrlPr>
              <w:rPr>
                <w:rFonts w:ascii="Cambria Math" w:eastAsia="Calibri" w:hAnsi="Cambria Math" w:cs="Times New Roman"/>
                <w:i/>
              </w:rPr>
            </m:ctrlPr>
          </m:sSubPr>
          <m:e>
            <m:r>
              <w:rPr>
                <w:rFonts w:ascii="Cambria Math" w:eastAsia="Calibri" w:hAnsi="Cambria Math" w:cs="Times New Roman"/>
              </w:rPr>
              <m:t>GFC</m:t>
            </m:r>
          </m:e>
          <m:sub>
            <m:r>
              <w:rPr>
                <w:rFonts w:ascii="Cambria Math" w:eastAsia="Calibri" w:hAnsi="Cambria Math" w:cs="Times New Roman"/>
              </w:rPr>
              <m:t>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10</m:t>
            </m:r>
          </m:sub>
        </m:sSub>
        <m:sSub>
          <m:sSubPr>
            <m:ctrlPr>
              <w:rPr>
                <w:rFonts w:ascii="Cambria Math" w:eastAsia="Calibri" w:hAnsi="Cambria Math" w:cs="Times New Roman"/>
                <w:i/>
              </w:rPr>
            </m:ctrlPr>
          </m:sSubPr>
          <m:e>
            <m:r>
              <w:rPr>
                <w:rFonts w:ascii="Cambria Math" w:eastAsia="Calibri" w:hAnsi="Cambria Math" w:cs="Times New Roman"/>
              </w:rPr>
              <m:t>GDP</m:t>
            </m:r>
          </m:e>
          <m:sub>
            <m:r>
              <w:rPr>
                <w:rFonts w:ascii="Cambria Math" w:eastAsia="Calibri" w:hAnsi="Cambria Math" w:cs="Times New Roman"/>
              </w:rPr>
              <m:t>jt</m:t>
            </m:r>
          </m:sub>
        </m:sSub>
        <m:r>
          <w:rPr>
            <w:rFonts w:ascii="Cambria Math" w:eastAsia="Calibri" w:hAnsi="Cambria Math" w:cs="Times New Roman"/>
          </w:rPr>
          <m:t>+FE+</m:t>
        </m:r>
        <m:sSub>
          <m:sSubPr>
            <m:ctrlPr>
              <w:rPr>
                <w:rFonts w:ascii="Cambria Math" w:eastAsia="Calibri" w:hAnsi="Cambria Math" w:cs="Times New Roman"/>
                <w:i/>
              </w:rPr>
            </m:ctrlPr>
          </m:sSubPr>
          <m:e>
            <m:r>
              <w:rPr>
                <w:rFonts w:ascii="Cambria Math" w:eastAsia="Calibri" w:hAnsi="Cambria Math" w:cs="Times New Roman"/>
              </w:rPr>
              <m:t>ε</m:t>
            </m:r>
          </m:e>
          <m:sub>
            <m:r>
              <w:rPr>
                <w:rFonts w:ascii="Cambria Math" w:eastAsia="Calibri" w:hAnsi="Cambria Math" w:cs="Times New Roman"/>
              </w:rPr>
              <m:t>it</m:t>
            </m:r>
          </m:sub>
        </m:sSub>
      </m:oMath>
      <w:r w:rsidR="008B0EE7" w:rsidRPr="001578CB">
        <w:rPr>
          <w:rFonts w:ascii="Times New Roman" w:eastAsiaTheme="minorEastAsia" w:hAnsi="Times New Roman" w:cs="Times New Roman"/>
        </w:rPr>
        <w:tab/>
      </w:r>
      <w:r w:rsidR="008B0EE7" w:rsidRPr="001578CB">
        <w:rPr>
          <w:rFonts w:ascii="Times New Roman" w:eastAsiaTheme="minorEastAsia" w:hAnsi="Times New Roman" w:cs="Times New Roman"/>
        </w:rPr>
        <w:tab/>
      </w:r>
      <w:r w:rsidR="00590F06" w:rsidRPr="001578CB">
        <w:rPr>
          <w:rFonts w:ascii="Times New Roman" w:eastAsiaTheme="minorEastAsia" w:hAnsi="Times New Roman" w:cs="Times New Roman"/>
        </w:rPr>
        <w:tab/>
      </w:r>
      <w:r w:rsidR="00A77746">
        <w:rPr>
          <w:rFonts w:ascii="Times New Roman" w:eastAsiaTheme="minorEastAsia" w:hAnsi="Times New Roman" w:cs="Times New Roman"/>
        </w:rPr>
        <w:tab/>
      </w:r>
      <w:r w:rsidR="008B0EE7" w:rsidRPr="001578CB">
        <w:rPr>
          <w:rFonts w:ascii="Times New Roman" w:eastAsiaTheme="minorEastAsia" w:hAnsi="Times New Roman" w:cs="Times New Roman"/>
        </w:rPr>
        <w:t>(2)</w:t>
      </w:r>
    </w:p>
    <w:p w14:paraId="416B7EE3" w14:textId="77777777" w:rsidR="008B0EE7" w:rsidRPr="001578CB" w:rsidRDefault="008B0EE7" w:rsidP="008B0EE7">
      <w:pPr>
        <w:spacing w:after="0" w:line="240" w:lineRule="auto"/>
        <w:jc w:val="both"/>
        <w:rPr>
          <w:rFonts w:ascii="Times New Roman" w:eastAsiaTheme="minorEastAsia" w:hAnsi="Times New Roman" w:cs="Times New Roman"/>
        </w:rPr>
      </w:pPr>
    </w:p>
    <w:p w14:paraId="53EFB47D" w14:textId="263F1AE9" w:rsidR="008B0EE7" w:rsidRPr="001578CB" w:rsidRDefault="00000000" w:rsidP="008B0EE7">
      <w:pPr>
        <w:spacing w:after="0" w:line="24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SEOP</m:t>
            </m:r>
          </m:e>
          <m:sub>
            <m:r>
              <w:rPr>
                <w:rFonts w:ascii="Cambria Math" w:eastAsiaTheme="minorEastAsia" w:hAnsi="Cambria Math" w:cs="Times New Roman"/>
              </w:rPr>
              <m:t>it+1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0</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m:t>
            </m:r>
          </m:sub>
        </m:sSub>
        <m:sSub>
          <m:sSubPr>
            <m:ctrlPr>
              <w:rPr>
                <w:rFonts w:ascii="Cambria Math" w:eastAsia="Calibri" w:hAnsi="Cambria Math" w:cs="Times New Roman"/>
                <w:i/>
              </w:rPr>
            </m:ctrlPr>
          </m:sSubPr>
          <m:e>
            <m:r>
              <w:rPr>
                <w:rFonts w:ascii="Cambria Math" w:eastAsia="Calibri" w:hAnsi="Cambria Math" w:cs="Times New Roman"/>
              </w:rPr>
              <m:t>AEM</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2</m:t>
            </m:r>
          </m:sub>
        </m:sSub>
        <m:sSub>
          <m:sSubPr>
            <m:ctrlPr>
              <w:rPr>
                <w:rFonts w:ascii="Cambria Math" w:eastAsia="Calibri" w:hAnsi="Cambria Math" w:cs="Times New Roman"/>
                <w:i/>
              </w:rPr>
            </m:ctrlPr>
          </m:sSubPr>
          <m:e>
            <m:r>
              <w:rPr>
                <w:rFonts w:ascii="Cambria Math" w:eastAsia="Calibri" w:hAnsi="Cambria Math" w:cs="Times New Roman"/>
              </w:rPr>
              <m:t>RAM</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3</m:t>
            </m:r>
          </m:sub>
        </m:sSub>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4</m:t>
            </m:r>
          </m:sub>
        </m:sSub>
        <m:sSub>
          <m:sSubPr>
            <m:ctrlPr>
              <w:rPr>
                <w:rFonts w:ascii="Cambria Math" w:eastAsia="Calibri" w:hAnsi="Cambria Math" w:cs="Times New Roman"/>
                <w:i/>
              </w:rPr>
            </m:ctrlPr>
          </m:sSubPr>
          <m:e>
            <m:r>
              <w:rPr>
                <w:rFonts w:ascii="Cambria Math" w:eastAsia="Calibri" w:hAnsi="Cambria Math" w:cs="Times New Roman"/>
              </w:rPr>
              <m:t>AEM</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5</m:t>
            </m:r>
          </m:sub>
        </m:sSub>
        <m:sSub>
          <m:sSubPr>
            <m:ctrlPr>
              <w:rPr>
                <w:rFonts w:ascii="Cambria Math" w:eastAsia="Calibri" w:hAnsi="Cambria Math" w:cs="Times New Roman"/>
                <w:i/>
              </w:rPr>
            </m:ctrlPr>
          </m:sSubPr>
          <m:e>
            <m:r>
              <w:rPr>
                <w:rFonts w:ascii="Cambria Math" w:eastAsia="Calibri" w:hAnsi="Cambria Math" w:cs="Times New Roman"/>
              </w:rPr>
              <m:t>RAM</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 xml:space="preserve">                   β</m:t>
            </m:r>
          </m:e>
          <m:sub>
            <m:r>
              <w:rPr>
                <w:rFonts w:ascii="Cambria Math" w:eastAsia="Calibri" w:hAnsi="Cambria Math" w:cs="Times New Roman"/>
              </w:rPr>
              <m:t>6</m:t>
            </m:r>
          </m:sub>
        </m:sSub>
        <m:sSub>
          <m:sSubPr>
            <m:ctrlPr>
              <w:rPr>
                <w:rFonts w:ascii="Cambria Math" w:eastAsia="Calibri" w:hAnsi="Cambria Math" w:cs="Times New Roman"/>
                <w:i/>
              </w:rPr>
            </m:ctrlPr>
          </m:sSubPr>
          <m:e>
            <m:r>
              <w:rPr>
                <w:rFonts w:ascii="Cambria Math" w:eastAsia="Calibri" w:hAnsi="Cambria Math" w:cs="Times New Roman"/>
              </w:rPr>
              <m:t>SIZE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7</m:t>
            </m:r>
          </m:sub>
        </m:sSub>
        <m:sSub>
          <m:sSubPr>
            <m:ctrlPr>
              <w:rPr>
                <w:rFonts w:ascii="Cambria Math" w:eastAsia="Calibri" w:hAnsi="Cambria Math" w:cs="Times New Roman"/>
                <w:i/>
              </w:rPr>
            </m:ctrlPr>
          </m:sSubPr>
          <m:e>
            <m:r>
              <w:rPr>
                <w:rFonts w:ascii="Cambria Math" w:eastAsia="Calibri" w:hAnsi="Cambria Math" w:cs="Times New Roman"/>
              </w:rPr>
              <m:t>LEV</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8</m:t>
            </m:r>
          </m:sub>
        </m:sSub>
        <m:sSub>
          <m:sSubPr>
            <m:ctrlPr>
              <w:rPr>
                <w:rFonts w:ascii="Cambria Math" w:eastAsia="Calibri" w:hAnsi="Cambria Math" w:cs="Times New Roman"/>
                <w:i/>
              </w:rPr>
            </m:ctrlPr>
          </m:sSubPr>
          <m:e>
            <m:r>
              <w:rPr>
                <w:rFonts w:ascii="Cambria Math" w:eastAsia="Calibri" w:hAnsi="Cambria Math" w:cs="Times New Roman"/>
              </w:rPr>
              <m:t>AGE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9</m:t>
            </m:r>
          </m:sub>
        </m:sSub>
        <m:sSub>
          <m:sSubPr>
            <m:ctrlPr>
              <w:rPr>
                <w:rFonts w:ascii="Cambria Math" w:eastAsia="Calibri" w:hAnsi="Cambria Math" w:cs="Times New Roman"/>
                <w:i/>
              </w:rPr>
            </m:ctrlPr>
          </m:sSubPr>
          <m:e>
            <m:r>
              <w:rPr>
                <w:rFonts w:ascii="Cambria Math" w:eastAsia="Calibri" w:hAnsi="Cambria Math" w:cs="Times New Roman"/>
              </w:rPr>
              <m:t>CAPEX</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10</m:t>
            </m:r>
          </m:sub>
        </m:sSub>
        <m:sSub>
          <m:sSubPr>
            <m:ctrlPr>
              <w:rPr>
                <w:rFonts w:ascii="Cambria Math" w:eastAsia="Calibri" w:hAnsi="Cambria Math" w:cs="Times New Roman"/>
                <w:i/>
              </w:rPr>
            </m:ctrlPr>
          </m:sSubPr>
          <m:e>
            <m:r>
              <w:rPr>
                <w:rFonts w:ascii="Cambria Math" w:eastAsia="Calibri" w:hAnsi="Cambria Math" w:cs="Times New Roman"/>
              </w:rPr>
              <m:t>CASH</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11</m:t>
            </m:r>
          </m:sub>
        </m:sSub>
        <m:sSub>
          <m:sSubPr>
            <m:ctrlPr>
              <w:rPr>
                <w:rFonts w:ascii="Cambria Math" w:eastAsia="Calibri" w:hAnsi="Cambria Math" w:cs="Times New Roman"/>
                <w:i/>
              </w:rPr>
            </m:ctrlPr>
          </m:sSubPr>
          <m:e>
            <m:r>
              <w:rPr>
                <w:rFonts w:ascii="Cambria Math" w:eastAsia="Calibri" w:hAnsi="Cambria Math" w:cs="Times New Roman"/>
              </w:rPr>
              <m:t>MTB</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12</m:t>
            </m:r>
          </m:sub>
        </m:sSub>
        <m:sSub>
          <m:sSubPr>
            <m:ctrlPr>
              <w:rPr>
                <w:rFonts w:ascii="Cambria Math" w:eastAsia="Calibri" w:hAnsi="Cambria Math" w:cs="Times New Roman"/>
                <w:i/>
              </w:rPr>
            </m:ctrlPr>
          </m:sSubPr>
          <m:e>
            <m:r>
              <w:rPr>
                <w:rFonts w:ascii="Cambria Math" w:eastAsia="Calibri" w:hAnsi="Cambria Math" w:cs="Times New Roman"/>
              </w:rPr>
              <m:t>GFC</m:t>
            </m:r>
          </m:e>
          <m:sub>
            <m:r>
              <w:rPr>
                <w:rFonts w:ascii="Cambria Math" w:eastAsia="Calibri" w:hAnsi="Cambria Math" w:cs="Times New Roman"/>
              </w:rPr>
              <m:t>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 xml:space="preserve">                   β</m:t>
            </m:r>
          </m:e>
          <m:sub>
            <m:r>
              <w:rPr>
                <w:rFonts w:ascii="Cambria Math" w:eastAsia="Calibri" w:hAnsi="Cambria Math" w:cs="Times New Roman"/>
              </w:rPr>
              <m:t>13</m:t>
            </m:r>
          </m:sub>
        </m:sSub>
        <m:sSub>
          <m:sSubPr>
            <m:ctrlPr>
              <w:rPr>
                <w:rFonts w:ascii="Cambria Math" w:eastAsia="Calibri" w:hAnsi="Cambria Math" w:cs="Times New Roman"/>
                <w:i/>
              </w:rPr>
            </m:ctrlPr>
          </m:sSubPr>
          <m:e>
            <m:r>
              <w:rPr>
                <w:rFonts w:ascii="Cambria Math" w:eastAsia="Calibri" w:hAnsi="Cambria Math" w:cs="Times New Roman"/>
              </w:rPr>
              <m:t>GDP</m:t>
            </m:r>
          </m:e>
          <m:sub>
            <m:r>
              <w:rPr>
                <w:rFonts w:ascii="Cambria Math" w:eastAsia="Calibri" w:hAnsi="Cambria Math" w:cs="Times New Roman"/>
              </w:rPr>
              <m:t>jt</m:t>
            </m:r>
          </m:sub>
        </m:sSub>
        <m:r>
          <w:rPr>
            <w:rFonts w:ascii="Cambria Math" w:eastAsia="Calibri" w:hAnsi="Cambria Math" w:cs="Times New Roman"/>
          </w:rPr>
          <m:t>+FE+</m:t>
        </m:r>
        <m:sSub>
          <m:sSubPr>
            <m:ctrlPr>
              <w:rPr>
                <w:rFonts w:ascii="Cambria Math" w:eastAsia="Calibri" w:hAnsi="Cambria Math" w:cs="Times New Roman"/>
                <w:i/>
              </w:rPr>
            </m:ctrlPr>
          </m:sSubPr>
          <m:e>
            <m:r>
              <w:rPr>
                <w:rFonts w:ascii="Cambria Math" w:eastAsia="Calibri" w:hAnsi="Cambria Math" w:cs="Times New Roman"/>
              </w:rPr>
              <m:t>ε</m:t>
            </m:r>
          </m:e>
          <m:sub>
            <m:r>
              <w:rPr>
                <w:rFonts w:ascii="Cambria Math" w:eastAsia="Calibri" w:hAnsi="Cambria Math" w:cs="Times New Roman"/>
              </w:rPr>
              <m:t>it</m:t>
            </m:r>
          </m:sub>
        </m:sSub>
      </m:oMath>
      <w:r w:rsidR="008B0EE7" w:rsidRPr="001578CB">
        <w:rPr>
          <w:rFonts w:ascii="Times New Roman" w:eastAsiaTheme="minorEastAsia" w:hAnsi="Times New Roman" w:cs="Times New Roman"/>
        </w:rPr>
        <w:tab/>
      </w:r>
      <w:r w:rsidR="008B0EE7" w:rsidRPr="001578CB">
        <w:rPr>
          <w:rFonts w:ascii="Times New Roman" w:eastAsiaTheme="minorEastAsia" w:hAnsi="Times New Roman" w:cs="Times New Roman"/>
        </w:rPr>
        <w:tab/>
      </w:r>
      <w:r w:rsidR="008B0EE7" w:rsidRPr="001578CB">
        <w:rPr>
          <w:rFonts w:ascii="Times New Roman" w:eastAsiaTheme="minorEastAsia" w:hAnsi="Times New Roman" w:cs="Times New Roman"/>
        </w:rPr>
        <w:tab/>
      </w:r>
      <w:r w:rsidR="008B0EE7" w:rsidRPr="001578CB">
        <w:rPr>
          <w:rFonts w:ascii="Times New Roman" w:eastAsiaTheme="minorEastAsia" w:hAnsi="Times New Roman" w:cs="Times New Roman"/>
        </w:rPr>
        <w:tab/>
      </w:r>
      <w:r w:rsidR="008B0EE7" w:rsidRPr="001578CB">
        <w:rPr>
          <w:rFonts w:ascii="Times New Roman" w:eastAsiaTheme="minorEastAsia" w:hAnsi="Times New Roman" w:cs="Times New Roman"/>
        </w:rPr>
        <w:tab/>
      </w:r>
      <w:r w:rsidR="00302C86" w:rsidRPr="001578CB">
        <w:rPr>
          <w:rFonts w:ascii="Times New Roman" w:eastAsiaTheme="minorEastAsia" w:hAnsi="Times New Roman" w:cs="Times New Roman"/>
        </w:rPr>
        <w:tab/>
      </w:r>
      <w:r w:rsidR="00302C86" w:rsidRPr="001578CB">
        <w:rPr>
          <w:rFonts w:ascii="Times New Roman" w:eastAsiaTheme="minorEastAsia" w:hAnsi="Times New Roman" w:cs="Times New Roman"/>
        </w:rPr>
        <w:tab/>
      </w:r>
      <w:r w:rsidR="00704550">
        <w:rPr>
          <w:rFonts w:ascii="Times New Roman" w:eastAsiaTheme="minorEastAsia" w:hAnsi="Times New Roman" w:cs="Times New Roman"/>
        </w:rPr>
        <w:tab/>
      </w:r>
      <w:r w:rsidR="00704550">
        <w:rPr>
          <w:rFonts w:ascii="Times New Roman" w:eastAsiaTheme="minorEastAsia" w:hAnsi="Times New Roman" w:cs="Times New Roman"/>
        </w:rPr>
        <w:tab/>
      </w:r>
      <w:r w:rsidR="008B0EE7" w:rsidRPr="001578CB">
        <w:rPr>
          <w:rFonts w:ascii="Times New Roman" w:eastAsiaTheme="minorEastAsia" w:hAnsi="Times New Roman" w:cs="Times New Roman"/>
        </w:rPr>
        <w:t>(3)</w:t>
      </w:r>
    </w:p>
    <w:p w14:paraId="2DEBFA13" w14:textId="77777777" w:rsidR="008B0EE7" w:rsidRPr="001578CB" w:rsidRDefault="008B0EE7" w:rsidP="008B0EE7">
      <w:pPr>
        <w:spacing w:after="0" w:line="240" w:lineRule="auto"/>
        <w:jc w:val="both"/>
        <w:rPr>
          <w:rFonts w:ascii="Times New Roman" w:eastAsiaTheme="minorEastAsia" w:hAnsi="Times New Roman" w:cs="Times New Roman"/>
        </w:rPr>
      </w:pPr>
    </w:p>
    <w:p w14:paraId="50E57C80" w14:textId="7704550C" w:rsidR="008B0EE7" w:rsidRDefault="00000000" w:rsidP="008B0EE7">
      <w:pPr>
        <w:spacing w:after="0" w:line="24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SEOP</m:t>
            </m:r>
          </m:e>
          <m:sub>
            <m:r>
              <w:rPr>
                <w:rFonts w:ascii="Cambria Math" w:eastAsiaTheme="minorEastAsia" w:hAnsi="Cambria Math" w:cs="Times New Roman"/>
              </w:rPr>
              <m:t>it+1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0</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m:t>
            </m:r>
          </m:sub>
        </m:sSub>
        <m:sSub>
          <m:sSubPr>
            <m:ctrlPr>
              <w:rPr>
                <w:rFonts w:ascii="Cambria Math" w:eastAsia="Calibri" w:hAnsi="Cambria Math" w:cs="Times New Roman"/>
                <w:i/>
              </w:rPr>
            </m:ctrlPr>
          </m:sSubPr>
          <m:e>
            <m:r>
              <w:rPr>
                <w:rFonts w:ascii="Cambria Math" w:eastAsia="Calibri" w:hAnsi="Cambria Math" w:cs="Times New Roman"/>
              </w:rPr>
              <m:t>TAR</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2</m:t>
            </m:r>
          </m:sub>
        </m:sSub>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3</m:t>
            </m:r>
          </m:sub>
        </m:sSub>
        <m:sSub>
          <m:sSubPr>
            <m:ctrlPr>
              <w:rPr>
                <w:rFonts w:ascii="Cambria Math" w:eastAsia="Calibri" w:hAnsi="Cambria Math" w:cs="Times New Roman"/>
                <w:i/>
              </w:rPr>
            </m:ctrlPr>
          </m:sSubPr>
          <m:e>
            <m:r>
              <w:rPr>
                <w:rFonts w:ascii="Cambria Math" w:eastAsia="Calibri" w:hAnsi="Cambria Math" w:cs="Times New Roman"/>
              </w:rPr>
              <m:t>TAR</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LAW</m:t>
            </m:r>
          </m:e>
          <m:sub>
            <m:r>
              <w:rPr>
                <w:rFonts w:ascii="Cambria Math" w:eastAsia="Calibri" w:hAnsi="Cambria Math" w:cs="Times New Roman"/>
              </w:rPr>
              <m:t>jt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4</m:t>
            </m:r>
          </m:sub>
        </m:sSub>
        <m:sSub>
          <m:sSubPr>
            <m:ctrlPr>
              <w:rPr>
                <w:rFonts w:ascii="Cambria Math" w:eastAsia="Calibri" w:hAnsi="Cambria Math" w:cs="Times New Roman"/>
                <w:i/>
              </w:rPr>
            </m:ctrlPr>
          </m:sSubPr>
          <m:e>
            <m:r>
              <w:rPr>
                <w:rFonts w:ascii="Cambria Math" w:eastAsia="Calibri" w:hAnsi="Cambria Math" w:cs="Times New Roman"/>
              </w:rPr>
              <m:t>SIZE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5</m:t>
            </m:r>
          </m:sub>
        </m:sSub>
        <m:sSub>
          <m:sSubPr>
            <m:ctrlPr>
              <w:rPr>
                <w:rFonts w:ascii="Cambria Math" w:eastAsia="Calibri" w:hAnsi="Cambria Math" w:cs="Times New Roman"/>
                <w:i/>
              </w:rPr>
            </m:ctrlPr>
          </m:sSubPr>
          <m:e>
            <m:r>
              <w:rPr>
                <w:rFonts w:ascii="Cambria Math" w:eastAsia="Calibri" w:hAnsi="Cambria Math" w:cs="Times New Roman"/>
              </w:rPr>
              <m:t>LEV</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6</m:t>
            </m:r>
          </m:sub>
        </m:sSub>
        <m:sSub>
          <m:sSubPr>
            <m:ctrlPr>
              <w:rPr>
                <w:rFonts w:ascii="Cambria Math" w:eastAsia="Calibri" w:hAnsi="Cambria Math" w:cs="Times New Roman"/>
                <w:i/>
              </w:rPr>
            </m:ctrlPr>
          </m:sSubPr>
          <m:e>
            <m:r>
              <w:rPr>
                <w:rFonts w:ascii="Cambria Math" w:eastAsia="Calibri" w:hAnsi="Cambria Math" w:cs="Times New Roman"/>
              </w:rPr>
              <m:t>AGE</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 xml:space="preserve">                   β</m:t>
            </m:r>
          </m:e>
          <m:sub>
            <m:r>
              <w:rPr>
                <w:rFonts w:ascii="Cambria Math" w:eastAsia="Calibri" w:hAnsi="Cambria Math" w:cs="Times New Roman"/>
              </w:rPr>
              <m:t>7</m:t>
            </m:r>
          </m:sub>
        </m:sSub>
        <m:sSub>
          <m:sSubPr>
            <m:ctrlPr>
              <w:rPr>
                <w:rFonts w:ascii="Cambria Math" w:eastAsia="Calibri" w:hAnsi="Cambria Math" w:cs="Times New Roman"/>
                <w:i/>
              </w:rPr>
            </m:ctrlPr>
          </m:sSubPr>
          <m:e>
            <m:r>
              <w:rPr>
                <w:rFonts w:ascii="Cambria Math" w:eastAsia="Calibri" w:hAnsi="Cambria Math" w:cs="Times New Roman"/>
              </w:rPr>
              <m:t>CAPEX</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8</m:t>
            </m:r>
          </m:sub>
        </m:sSub>
        <m:sSub>
          <m:sSubPr>
            <m:ctrlPr>
              <w:rPr>
                <w:rFonts w:ascii="Cambria Math" w:eastAsia="Calibri" w:hAnsi="Cambria Math" w:cs="Times New Roman"/>
                <w:i/>
              </w:rPr>
            </m:ctrlPr>
          </m:sSubPr>
          <m:e>
            <m:r>
              <w:rPr>
                <w:rFonts w:ascii="Cambria Math" w:eastAsia="Calibri" w:hAnsi="Cambria Math" w:cs="Times New Roman"/>
              </w:rPr>
              <m:t>CASH</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9</m:t>
            </m:r>
          </m:sub>
        </m:sSub>
        <m:sSub>
          <m:sSubPr>
            <m:ctrlPr>
              <w:rPr>
                <w:rFonts w:ascii="Cambria Math" w:eastAsia="Calibri" w:hAnsi="Cambria Math" w:cs="Times New Roman"/>
                <w:i/>
              </w:rPr>
            </m:ctrlPr>
          </m:sSubPr>
          <m:e>
            <m:r>
              <w:rPr>
                <w:rFonts w:ascii="Cambria Math" w:eastAsia="Calibri" w:hAnsi="Cambria Math" w:cs="Times New Roman"/>
              </w:rPr>
              <m:t>MTB</m:t>
            </m:r>
          </m:e>
          <m:sub>
            <m:r>
              <w:rPr>
                <w:rFonts w:ascii="Cambria Math" w:eastAsia="Calibri" w:hAnsi="Cambria Math" w:cs="Times New Roman"/>
              </w:rPr>
              <m:t>it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10</m:t>
            </m:r>
          </m:sub>
        </m:sSub>
        <m:sSub>
          <m:sSubPr>
            <m:ctrlPr>
              <w:rPr>
                <w:rFonts w:ascii="Cambria Math" w:eastAsia="Calibri" w:hAnsi="Cambria Math" w:cs="Times New Roman"/>
                <w:i/>
              </w:rPr>
            </m:ctrlPr>
          </m:sSubPr>
          <m:e>
            <m:r>
              <w:rPr>
                <w:rFonts w:ascii="Cambria Math" w:eastAsia="Calibri" w:hAnsi="Cambria Math" w:cs="Times New Roman"/>
              </w:rPr>
              <m:t>GFC</m:t>
            </m:r>
          </m:e>
          <m:sub>
            <m:r>
              <w:rPr>
                <w:rFonts w:ascii="Cambria Math" w:eastAsia="Calibri" w:hAnsi="Cambria Math" w:cs="Times New Roman"/>
              </w:rPr>
              <m:t>t</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11</m:t>
            </m:r>
          </m:sub>
        </m:sSub>
        <m:sSub>
          <m:sSubPr>
            <m:ctrlPr>
              <w:rPr>
                <w:rFonts w:ascii="Cambria Math" w:eastAsia="Calibri" w:hAnsi="Cambria Math" w:cs="Times New Roman"/>
                <w:i/>
              </w:rPr>
            </m:ctrlPr>
          </m:sSubPr>
          <m:e>
            <m:r>
              <w:rPr>
                <w:rFonts w:ascii="Cambria Math" w:eastAsia="Calibri" w:hAnsi="Cambria Math" w:cs="Times New Roman"/>
              </w:rPr>
              <m:t>GDP</m:t>
            </m:r>
          </m:e>
          <m:sub>
            <m:r>
              <w:rPr>
                <w:rFonts w:ascii="Cambria Math" w:eastAsia="Calibri" w:hAnsi="Cambria Math" w:cs="Times New Roman"/>
              </w:rPr>
              <m:t>jt</m:t>
            </m:r>
          </m:sub>
        </m:sSub>
        <m:r>
          <w:rPr>
            <w:rFonts w:ascii="Cambria Math" w:eastAsia="Calibri" w:hAnsi="Cambria Math" w:cs="Times New Roman"/>
          </w:rPr>
          <m:t>+FE+</m:t>
        </m:r>
        <m:sSub>
          <m:sSubPr>
            <m:ctrlPr>
              <w:rPr>
                <w:rFonts w:ascii="Cambria Math" w:eastAsia="Calibri" w:hAnsi="Cambria Math" w:cs="Times New Roman"/>
                <w:i/>
              </w:rPr>
            </m:ctrlPr>
          </m:sSubPr>
          <m:e>
            <m:r>
              <w:rPr>
                <w:rFonts w:ascii="Cambria Math" w:eastAsia="Calibri" w:hAnsi="Cambria Math" w:cs="Times New Roman"/>
              </w:rPr>
              <m:t>ε</m:t>
            </m:r>
          </m:e>
          <m:sub>
            <m:r>
              <w:rPr>
                <w:rFonts w:ascii="Cambria Math" w:eastAsia="Calibri" w:hAnsi="Cambria Math" w:cs="Times New Roman"/>
              </w:rPr>
              <m:t>it</m:t>
            </m:r>
          </m:sub>
        </m:sSub>
      </m:oMath>
      <w:r w:rsidR="008B0EE7" w:rsidRPr="001578CB">
        <w:rPr>
          <w:rFonts w:ascii="Times New Roman" w:eastAsiaTheme="minorEastAsia" w:hAnsi="Times New Roman" w:cs="Times New Roman"/>
        </w:rPr>
        <w:tab/>
      </w:r>
      <w:r w:rsidR="008B0EE7" w:rsidRPr="001578CB">
        <w:rPr>
          <w:rFonts w:ascii="Times New Roman" w:eastAsiaTheme="minorEastAsia" w:hAnsi="Times New Roman" w:cs="Times New Roman"/>
        </w:rPr>
        <w:tab/>
        <w:t>(4)</w:t>
      </w:r>
    </w:p>
    <w:p w14:paraId="72D9017B" w14:textId="77777777" w:rsidR="006F6D43" w:rsidRPr="001578CB" w:rsidRDefault="006F6D43" w:rsidP="008B0EE7">
      <w:pPr>
        <w:spacing w:after="0" w:line="240" w:lineRule="auto"/>
        <w:jc w:val="both"/>
        <w:rPr>
          <w:rFonts w:ascii="Times New Roman" w:eastAsiaTheme="minorEastAsia" w:hAnsi="Times New Roman" w:cs="Times New Roman"/>
        </w:rPr>
      </w:pPr>
    </w:p>
    <w:p w14:paraId="2A8A8C15" w14:textId="1F57A4DB" w:rsidR="008B0EE7" w:rsidRDefault="008B0EE7" w:rsidP="008B0EE7">
      <w:pPr>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3734CB">
        <w:rPr>
          <w:rFonts w:ascii="Times New Roman" w:eastAsiaTheme="minorEastAsia" w:hAnsi="Times New Roman" w:cs="Times New Roman"/>
          <w:i/>
          <w:iCs/>
          <w:sz w:val="24"/>
          <w:szCs w:val="24"/>
        </w:rPr>
        <w:t>SEO</w:t>
      </w:r>
      <w:r>
        <w:rPr>
          <w:rFonts w:ascii="Times New Roman" w:eastAsiaTheme="minorEastAsia" w:hAnsi="Times New Roman" w:cs="Times New Roman"/>
          <w:i/>
          <w:iCs/>
          <w:sz w:val="24"/>
          <w:szCs w:val="24"/>
        </w:rPr>
        <w:t>P</w:t>
      </w:r>
      <w:r w:rsidRPr="00435F60">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post-</w:t>
      </w:r>
      <w:r w:rsidRPr="00435F60">
        <w:rPr>
          <w:rFonts w:ascii="Times New Roman" w:eastAsiaTheme="minorEastAsia" w:hAnsi="Times New Roman" w:cs="Times New Roman"/>
          <w:sz w:val="24"/>
          <w:szCs w:val="24"/>
        </w:rPr>
        <w:t>SEO performance</w:t>
      </w:r>
      <w:r w:rsidR="000E0142">
        <w:rPr>
          <w:rFonts w:ascii="Times New Roman" w:eastAsiaTheme="minorEastAsia" w:hAnsi="Times New Roman" w:cs="Times New Roman"/>
          <w:sz w:val="24"/>
          <w:szCs w:val="24"/>
        </w:rPr>
        <w:t xml:space="preserve"> which</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 xml:space="preserve"> </w:t>
      </w:r>
      <w:r w:rsidR="0034171D">
        <w:rPr>
          <w:rFonts w:ascii="Times New Roman" w:hAnsi="Times New Roman" w:cs="Times New Roman"/>
          <w:sz w:val="24"/>
          <w:szCs w:val="24"/>
        </w:rPr>
        <w:t>f</w:t>
      </w:r>
      <w:r>
        <w:rPr>
          <w:rFonts w:ascii="Times New Roman" w:hAnsi="Times New Roman" w:cs="Times New Roman"/>
          <w:sz w:val="24"/>
          <w:szCs w:val="24"/>
        </w:rPr>
        <w:t>ollowing Teoh et al. (1998), we measure as unadjusted net income performance (</w:t>
      </w:r>
      <w:r w:rsidRPr="00E27EEB">
        <w:rPr>
          <w:rFonts w:ascii="Times New Roman" w:hAnsi="Times New Roman" w:cs="Times New Roman"/>
          <w:i/>
          <w:iCs/>
          <w:sz w:val="24"/>
          <w:szCs w:val="24"/>
        </w:rPr>
        <w:t>UNIP</w:t>
      </w:r>
      <w:r>
        <w:rPr>
          <w:rFonts w:ascii="Times New Roman" w:hAnsi="Times New Roman" w:cs="Times New Roman"/>
          <w:sz w:val="24"/>
          <w:szCs w:val="24"/>
        </w:rPr>
        <w:t xml:space="preserve">), calculated as net income scaled by </w:t>
      </w:r>
      <w:r w:rsidR="00F372C2">
        <w:rPr>
          <w:rFonts w:ascii="Times New Roman" w:hAnsi="Times New Roman" w:cs="Times New Roman"/>
          <w:sz w:val="24"/>
          <w:szCs w:val="24"/>
        </w:rPr>
        <w:t xml:space="preserve">the </w:t>
      </w:r>
      <w:r>
        <w:rPr>
          <w:rFonts w:ascii="Times New Roman" w:hAnsi="Times New Roman" w:cs="Times New Roman"/>
          <w:sz w:val="24"/>
          <w:szCs w:val="24"/>
        </w:rPr>
        <w:t xml:space="preserve">prior year’s total assets. </w:t>
      </w:r>
      <w:r w:rsidRPr="0039135E">
        <w:rPr>
          <w:rFonts w:ascii="Times New Roman" w:eastAsiaTheme="minorEastAsia" w:hAnsi="Times New Roman" w:cs="Times New Roman"/>
          <w:i/>
          <w:iCs/>
          <w:sz w:val="24"/>
          <w:szCs w:val="24"/>
        </w:rPr>
        <w:t>A</w:t>
      </w:r>
      <w:r w:rsidRPr="00C15CBF">
        <w:rPr>
          <w:rFonts w:ascii="Times New Roman" w:eastAsiaTheme="minorEastAsia" w:hAnsi="Times New Roman" w:cs="Times New Roman"/>
          <w:i/>
          <w:iCs/>
          <w:sz w:val="24"/>
          <w:szCs w:val="24"/>
        </w:rPr>
        <w:t>E</w:t>
      </w:r>
      <w:r w:rsidRPr="003734CB">
        <w:rPr>
          <w:rFonts w:ascii="Times New Roman" w:eastAsiaTheme="minorEastAsia" w:hAnsi="Times New Roman" w:cs="Times New Roman"/>
          <w:i/>
          <w:iCs/>
          <w:sz w:val="24"/>
          <w:szCs w:val="24"/>
        </w:rPr>
        <w:t>M</w:t>
      </w:r>
      <w:r>
        <w:rPr>
          <w:rFonts w:ascii="Times New Roman" w:eastAsiaTheme="minorEastAsia" w:hAnsi="Times New Roman" w:cs="Times New Roman"/>
          <w:sz w:val="24"/>
          <w:szCs w:val="24"/>
        </w:rPr>
        <w:t xml:space="preserve"> is accruals earnings management measured using the</w:t>
      </w:r>
      <w:r w:rsidRPr="00CD5568">
        <w:rPr>
          <w:rFonts w:ascii="Times New Roman" w:hAnsi="Times New Roman" w:cs="Times New Roman"/>
          <w:sz w:val="24"/>
          <w:szCs w:val="24"/>
        </w:rPr>
        <w:t xml:space="preserve"> modified Jones (1991) model</w:t>
      </w:r>
      <w:r w:rsidR="005D5EC4">
        <w:rPr>
          <w:rFonts w:ascii="Times New Roman" w:hAnsi="Times New Roman" w:cs="Times New Roman"/>
          <w:sz w:val="24"/>
          <w:szCs w:val="24"/>
        </w:rPr>
        <w:t>,</w:t>
      </w:r>
      <w:r>
        <w:rPr>
          <w:rFonts w:ascii="Times New Roman" w:eastAsiaTheme="minorEastAsia" w:hAnsi="Times New Roman" w:cs="Times New Roman"/>
          <w:sz w:val="24"/>
          <w:szCs w:val="24"/>
        </w:rPr>
        <w:t xml:space="preserve"> estimated cross-sectionally </w:t>
      </w:r>
      <w:r w:rsidR="00976D64">
        <w:rPr>
          <w:rFonts w:ascii="Times New Roman" w:eastAsiaTheme="minorEastAsia" w:hAnsi="Times New Roman" w:cs="Times New Roman"/>
          <w:sz w:val="24"/>
          <w:szCs w:val="24"/>
        </w:rPr>
        <w:t>(</w:t>
      </w:r>
      <w:r w:rsidR="00976D64" w:rsidRPr="001578CB">
        <w:rPr>
          <w:rFonts w:ascii="Times New Roman" w:eastAsiaTheme="minorEastAsia" w:hAnsi="Times New Roman" w:cs="Times New Roman"/>
          <w:sz w:val="24"/>
          <w:szCs w:val="24"/>
        </w:rPr>
        <w:t xml:space="preserve">Dechow et al., 1995) </w:t>
      </w:r>
      <w:r>
        <w:rPr>
          <w:rFonts w:ascii="Times New Roman" w:eastAsiaTheme="minorEastAsia" w:hAnsi="Times New Roman" w:cs="Times New Roman"/>
          <w:sz w:val="24"/>
          <w:szCs w:val="24"/>
        </w:rPr>
        <w:t>with at least ten observations for every industry</w:t>
      </w:r>
      <w:r w:rsidR="006F6D4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year based on four-digit SIC codes. </w:t>
      </w:r>
      <w:r w:rsidRPr="0039135E">
        <w:rPr>
          <w:rFonts w:ascii="Times New Roman" w:eastAsiaTheme="minorEastAsia" w:hAnsi="Times New Roman" w:cs="Times New Roman"/>
          <w:i/>
          <w:iCs/>
          <w:sz w:val="24"/>
          <w:szCs w:val="24"/>
        </w:rPr>
        <w:t>RA</w:t>
      </w:r>
      <w:r w:rsidRPr="00CA4ECD">
        <w:rPr>
          <w:rFonts w:ascii="Times New Roman" w:eastAsiaTheme="minorEastAsia" w:hAnsi="Times New Roman" w:cs="Times New Roman"/>
          <w:i/>
          <w:iCs/>
          <w:sz w:val="24"/>
          <w:szCs w:val="24"/>
        </w:rPr>
        <w:t>M</w:t>
      </w:r>
      <w:r>
        <w:rPr>
          <w:rFonts w:ascii="Times New Roman" w:eastAsiaTheme="minorEastAsia" w:hAnsi="Times New Roman" w:cs="Times New Roman"/>
          <w:sz w:val="24"/>
          <w:szCs w:val="24"/>
        </w:rPr>
        <w:t xml:space="preserve"> is real activities manipulation </w:t>
      </w:r>
      <w:r w:rsidR="003E24C4">
        <w:rPr>
          <w:rFonts w:ascii="Times New Roman" w:eastAsiaTheme="minorEastAsia" w:hAnsi="Times New Roman" w:cs="Times New Roman"/>
          <w:sz w:val="24"/>
          <w:szCs w:val="24"/>
        </w:rPr>
        <w:t xml:space="preserve">which, </w:t>
      </w:r>
      <w:r>
        <w:rPr>
          <w:rFonts w:ascii="Times New Roman" w:eastAsiaTheme="minorEastAsia" w:hAnsi="Times New Roman" w:cs="Times New Roman"/>
          <w:sz w:val="24"/>
          <w:szCs w:val="24"/>
        </w:rPr>
        <w:t>following Cohen and Zarowin (2010) and Roychowdhury (2006)</w:t>
      </w:r>
      <w:r w:rsidR="009268D2">
        <w:rPr>
          <w:rFonts w:ascii="Times New Roman" w:eastAsiaTheme="minorEastAsia" w:hAnsi="Times New Roman" w:cs="Times New Roman"/>
          <w:sz w:val="24"/>
          <w:szCs w:val="24"/>
        </w:rPr>
        <w:t>, is</w:t>
      </w:r>
      <w:r>
        <w:rPr>
          <w:rFonts w:ascii="Times New Roman" w:eastAsiaTheme="minorEastAsia" w:hAnsi="Times New Roman" w:cs="Times New Roman"/>
          <w:sz w:val="24"/>
          <w:szCs w:val="24"/>
        </w:rPr>
        <w:t xml:space="preserve"> estimated cross-sectionally for at least ten observations for each industry-year based on four-digit SIC codes. For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we</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estimated</w:t>
      </w:r>
      <w:r w:rsidRPr="00435F60">
        <w:rPr>
          <w:rFonts w:ascii="Times New Roman" w:eastAsiaTheme="minorEastAsia" w:hAnsi="Times New Roman" w:cs="Times New Roman"/>
          <w:sz w:val="24"/>
          <w:szCs w:val="24"/>
        </w:rPr>
        <w:t xml:space="preserve"> abnormal discretionary expenses (</w:t>
      </w:r>
      <w:r w:rsidRPr="003734CB">
        <w:rPr>
          <w:rFonts w:ascii="Times New Roman" w:eastAsiaTheme="minorEastAsia" w:hAnsi="Times New Roman" w:cs="Times New Roman"/>
          <w:i/>
          <w:iCs/>
          <w:sz w:val="24"/>
          <w:szCs w:val="24"/>
        </w:rPr>
        <w:t>ADISX</w:t>
      </w:r>
      <w:r w:rsidRPr="00435F60">
        <w:rPr>
          <w:rFonts w:ascii="Times New Roman" w:eastAsiaTheme="minorEastAsia" w:hAnsi="Times New Roman" w:cs="Times New Roman"/>
          <w:sz w:val="24"/>
          <w:szCs w:val="24"/>
        </w:rPr>
        <w:t>) and abnormal production cost</w:t>
      </w:r>
      <w:r>
        <w:rPr>
          <w:rFonts w:ascii="Times New Roman" w:eastAsiaTheme="minorEastAsia" w:hAnsi="Times New Roman" w:cs="Times New Roman"/>
          <w:sz w:val="24"/>
          <w:szCs w:val="24"/>
        </w:rPr>
        <w:t>s</w:t>
      </w:r>
      <w:r w:rsidRPr="00435F60">
        <w:rPr>
          <w:rFonts w:ascii="Times New Roman" w:eastAsiaTheme="minorEastAsia" w:hAnsi="Times New Roman" w:cs="Times New Roman"/>
          <w:sz w:val="24"/>
          <w:szCs w:val="24"/>
        </w:rPr>
        <w:t xml:space="preserve"> (</w:t>
      </w:r>
      <w:r w:rsidRPr="003734CB">
        <w:rPr>
          <w:rFonts w:ascii="Times New Roman" w:eastAsiaTheme="minorEastAsia" w:hAnsi="Times New Roman" w:cs="Times New Roman"/>
          <w:i/>
          <w:iCs/>
          <w:sz w:val="24"/>
          <w:szCs w:val="24"/>
        </w:rPr>
        <w:t>APROD</w:t>
      </w:r>
      <w:r w:rsidRPr="00435F60">
        <w:rPr>
          <w:rFonts w:ascii="Times New Roman" w:eastAsiaTheme="minorEastAsia" w:hAnsi="Times New Roman" w:cs="Times New Roman"/>
          <w:sz w:val="24"/>
          <w:szCs w:val="24"/>
        </w:rPr>
        <w:t xml:space="preserve">). Given </w:t>
      </w:r>
      <w:r>
        <w:rPr>
          <w:rFonts w:ascii="Times New Roman" w:eastAsiaTheme="minorEastAsia" w:hAnsi="Times New Roman" w:cs="Times New Roman"/>
          <w:sz w:val="24"/>
          <w:szCs w:val="24"/>
        </w:rPr>
        <w:t xml:space="preserve">a </w:t>
      </w:r>
      <w:r w:rsidRPr="00435F60">
        <w:rPr>
          <w:rFonts w:ascii="Times New Roman" w:eastAsiaTheme="minorEastAsia" w:hAnsi="Times New Roman" w:cs="Times New Roman"/>
          <w:sz w:val="24"/>
          <w:szCs w:val="24"/>
        </w:rPr>
        <w:t xml:space="preserve">sales level, firms that </w:t>
      </w:r>
      <w:r>
        <w:rPr>
          <w:rFonts w:ascii="Times New Roman" w:eastAsiaTheme="minorEastAsia" w:hAnsi="Times New Roman" w:cs="Times New Roman"/>
          <w:sz w:val="24"/>
          <w:szCs w:val="24"/>
        </w:rPr>
        <w:t xml:space="preserve">engage in </w:t>
      </w:r>
      <w:r w:rsidR="009268D2">
        <w:rPr>
          <w:rFonts w:ascii="Times New Roman" w:eastAsiaTheme="minorEastAsia" w:hAnsi="Times New Roman" w:cs="Times New Roman"/>
          <w:sz w:val="24"/>
          <w:szCs w:val="24"/>
        </w:rPr>
        <w:t>RAM</w:t>
      </w:r>
      <w:r w:rsidRPr="00435F60">
        <w:rPr>
          <w:rFonts w:ascii="Times New Roman" w:eastAsiaTheme="minorEastAsia" w:hAnsi="Times New Roman" w:cs="Times New Roman"/>
          <w:sz w:val="24"/>
          <w:szCs w:val="24"/>
        </w:rPr>
        <w:t xml:space="preserve"> are likely to have </w:t>
      </w:r>
      <w:r>
        <w:rPr>
          <w:rFonts w:ascii="Times New Roman" w:eastAsiaTheme="minorEastAsia" w:hAnsi="Times New Roman" w:cs="Times New Roman"/>
          <w:sz w:val="24"/>
          <w:szCs w:val="24"/>
        </w:rPr>
        <w:t xml:space="preserve">either </w:t>
      </w:r>
      <w:r w:rsidRPr="00435F60">
        <w:rPr>
          <w:rFonts w:ascii="Times New Roman" w:eastAsiaTheme="minorEastAsia" w:hAnsi="Times New Roman" w:cs="Times New Roman"/>
          <w:sz w:val="24"/>
          <w:szCs w:val="24"/>
        </w:rPr>
        <w:t>abnormally low cash flows from operations, abnormally low discretionary expenses</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or </w:t>
      </w:r>
      <w:r w:rsidRPr="00435F60">
        <w:rPr>
          <w:rFonts w:ascii="Times New Roman" w:eastAsiaTheme="minorEastAsia" w:hAnsi="Times New Roman" w:cs="Times New Roman"/>
          <w:sz w:val="24"/>
          <w:szCs w:val="24"/>
        </w:rPr>
        <w:t>abnormally high production cost</w:t>
      </w:r>
      <w:r>
        <w:rPr>
          <w:rFonts w:ascii="Times New Roman" w:eastAsiaTheme="minorEastAsia" w:hAnsi="Times New Roman" w:cs="Times New Roman"/>
          <w:sz w:val="24"/>
          <w:szCs w:val="24"/>
        </w:rPr>
        <w:t>s</w:t>
      </w:r>
      <w:r w:rsidRPr="00435F60">
        <w:rPr>
          <w:rFonts w:ascii="Times New Roman" w:eastAsiaTheme="minorEastAsia" w:hAnsi="Times New Roman" w:cs="Times New Roman"/>
          <w:sz w:val="24"/>
          <w:szCs w:val="24"/>
        </w:rPr>
        <w:t xml:space="preserve"> (Cohen </w:t>
      </w:r>
      <w:r w:rsidR="00597DA6">
        <w:rPr>
          <w:rFonts w:ascii="Times New Roman" w:eastAsiaTheme="minorEastAsia" w:hAnsi="Times New Roman" w:cs="Times New Roman"/>
          <w:sz w:val="24"/>
          <w:szCs w:val="24"/>
        </w:rPr>
        <w:t>and</w:t>
      </w:r>
      <w:r w:rsidRPr="00435F60">
        <w:rPr>
          <w:rFonts w:ascii="Times New Roman" w:eastAsiaTheme="minorEastAsia" w:hAnsi="Times New Roman" w:cs="Times New Roman"/>
          <w:sz w:val="24"/>
          <w:szCs w:val="24"/>
        </w:rPr>
        <w:t xml:space="preserve"> Zarowin, 2010).</w:t>
      </w:r>
      <w:r>
        <w:rPr>
          <w:rFonts w:ascii="Times New Roman" w:eastAsiaTheme="minorEastAsia" w:hAnsi="Times New Roman" w:cs="Times New Roman"/>
          <w:sz w:val="24"/>
          <w:szCs w:val="24"/>
        </w:rPr>
        <w:t xml:space="preserve"> Consistent with</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past studies</w:t>
      </w:r>
      <w:r w:rsidRPr="00435F60">
        <w:rPr>
          <w:rFonts w:ascii="Times New Roman" w:eastAsiaTheme="minorEastAsia" w:hAnsi="Times New Roman" w:cs="Times New Roman"/>
          <w:sz w:val="24"/>
          <w:szCs w:val="24"/>
        </w:rPr>
        <w:t xml:space="preserve">, we multiply </w:t>
      </w:r>
      <w:r w:rsidRPr="003734CB">
        <w:rPr>
          <w:rFonts w:ascii="Times New Roman" w:eastAsiaTheme="minorEastAsia" w:hAnsi="Times New Roman" w:cs="Times New Roman"/>
          <w:i/>
          <w:iCs/>
          <w:sz w:val="24"/>
          <w:szCs w:val="24"/>
        </w:rPr>
        <w:t>ADISX</w:t>
      </w:r>
      <w:r>
        <w:rPr>
          <w:rFonts w:ascii="Times New Roman" w:eastAsiaTheme="minorEastAsia" w:hAnsi="Times New Roman" w:cs="Times New Roman"/>
          <w:sz w:val="24"/>
          <w:szCs w:val="24"/>
        </w:rPr>
        <w:t xml:space="preserve"> by</w:t>
      </w:r>
      <w:r w:rsidRPr="00435F60">
        <w:rPr>
          <w:rFonts w:ascii="Times New Roman" w:eastAsiaTheme="minorEastAsia" w:hAnsi="Times New Roman" w:cs="Times New Roman"/>
          <w:sz w:val="24"/>
          <w:szCs w:val="24"/>
        </w:rPr>
        <w:t xml:space="preserve"> minus one</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 xml:space="preserve"> so that higher value</w:t>
      </w:r>
      <w:r>
        <w:rPr>
          <w:rFonts w:ascii="Times New Roman" w:eastAsiaTheme="minorEastAsia" w:hAnsi="Times New Roman" w:cs="Times New Roman"/>
          <w:sz w:val="24"/>
          <w:szCs w:val="24"/>
        </w:rPr>
        <w:t>s</w:t>
      </w:r>
      <w:r w:rsidRPr="00435F60">
        <w:rPr>
          <w:rFonts w:ascii="Times New Roman" w:eastAsiaTheme="minorEastAsia" w:hAnsi="Times New Roman" w:cs="Times New Roman"/>
          <w:sz w:val="24"/>
          <w:szCs w:val="24"/>
        </w:rPr>
        <w:t xml:space="preserve"> of </w:t>
      </w:r>
      <w:r w:rsidRPr="003734CB">
        <w:rPr>
          <w:rFonts w:ascii="Times New Roman" w:eastAsiaTheme="minorEastAsia" w:hAnsi="Times New Roman" w:cs="Times New Roman"/>
          <w:i/>
          <w:iCs/>
          <w:sz w:val="24"/>
          <w:szCs w:val="24"/>
        </w:rPr>
        <w:t>ADISX</w:t>
      </w:r>
      <w:r w:rsidRPr="00435F60">
        <w:rPr>
          <w:rFonts w:ascii="Times New Roman" w:eastAsiaTheme="minorEastAsia" w:hAnsi="Times New Roman" w:cs="Times New Roman"/>
          <w:sz w:val="24"/>
          <w:szCs w:val="24"/>
        </w:rPr>
        <w:t xml:space="preserve"> indicate income</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 xml:space="preserve">increasing </w:t>
      </w:r>
      <w:r>
        <w:rPr>
          <w:rFonts w:ascii="Times New Roman" w:eastAsiaTheme="minorEastAsia" w:hAnsi="Times New Roman" w:cs="Times New Roman"/>
          <w:sz w:val="24"/>
          <w:szCs w:val="24"/>
        </w:rPr>
        <w:t xml:space="preserve">real activities </w:t>
      </w:r>
      <w:r w:rsidRPr="00435F60">
        <w:rPr>
          <w:rFonts w:ascii="Times New Roman" w:eastAsiaTheme="minorEastAsia" w:hAnsi="Times New Roman" w:cs="Times New Roman"/>
          <w:sz w:val="24"/>
          <w:szCs w:val="24"/>
        </w:rPr>
        <w:t>manipulat</w:t>
      </w:r>
      <w:r>
        <w:rPr>
          <w:rFonts w:ascii="Times New Roman" w:eastAsiaTheme="minorEastAsia" w:hAnsi="Times New Roman" w:cs="Times New Roman"/>
          <w:sz w:val="24"/>
          <w:szCs w:val="24"/>
        </w:rPr>
        <w:t xml:space="preserve">ion (e.g., </w:t>
      </w:r>
      <w:r w:rsidRPr="00435F60">
        <w:rPr>
          <w:rFonts w:ascii="Times New Roman" w:eastAsiaTheme="minorEastAsia" w:hAnsi="Times New Roman" w:cs="Times New Roman"/>
          <w:sz w:val="24"/>
          <w:szCs w:val="24"/>
        </w:rPr>
        <w:t xml:space="preserve">Cohen </w:t>
      </w:r>
      <w:r w:rsidR="00597DA6">
        <w:rPr>
          <w:rFonts w:ascii="Times New Roman" w:eastAsiaTheme="minorEastAsia" w:hAnsi="Times New Roman" w:cs="Times New Roman"/>
          <w:sz w:val="24"/>
          <w:szCs w:val="24"/>
        </w:rPr>
        <w:t>and</w:t>
      </w:r>
      <w:r w:rsidRPr="00435F60">
        <w:rPr>
          <w:rFonts w:ascii="Times New Roman" w:eastAsiaTheme="minorEastAsia" w:hAnsi="Times New Roman" w:cs="Times New Roman"/>
          <w:sz w:val="24"/>
          <w:szCs w:val="24"/>
        </w:rPr>
        <w:t xml:space="preserve"> Zarowin</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 xml:space="preserve"> 2010</w:t>
      </w:r>
      <w:r>
        <w:rPr>
          <w:rFonts w:ascii="Times New Roman" w:eastAsiaTheme="minorEastAsia" w:hAnsi="Times New Roman" w:cs="Times New Roman"/>
          <w:sz w:val="24"/>
          <w:szCs w:val="24"/>
        </w:rPr>
        <w:t xml:space="preserve">; </w:t>
      </w:r>
      <w:r w:rsidRPr="00435F60">
        <w:rPr>
          <w:rFonts w:ascii="Times New Roman" w:eastAsiaTheme="minorEastAsia" w:hAnsi="Times New Roman" w:cs="Times New Roman"/>
          <w:sz w:val="24"/>
          <w:szCs w:val="24"/>
        </w:rPr>
        <w:t>Doukakis 2014</w:t>
      </w:r>
      <w:r>
        <w:rPr>
          <w:rFonts w:ascii="Times New Roman" w:eastAsiaTheme="minorEastAsia" w:hAnsi="Times New Roman" w:cs="Times New Roman"/>
          <w:sz w:val="24"/>
          <w:szCs w:val="24"/>
        </w:rPr>
        <w:t xml:space="preserve">; </w:t>
      </w:r>
      <w:r w:rsidRPr="00435F60">
        <w:rPr>
          <w:rFonts w:ascii="Times New Roman" w:eastAsiaTheme="minorEastAsia" w:hAnsi="Times New Roman" w:cs="Times New Roman"/>
          <w:sz w:val="24"/>
          <w:szCs w:val="24"/>
        </w:rPr>
        <w:t>Zang</w:t>
      </w:r>
      <w:r>
        <w:rPr>
          <w:rFonts w:ascii="Times New Roman" w:eastAsiaTheme="minorEastAsia" w:hAnsi="Times New Roman" w:cs="Times New Roman"/>
          <w:sz w:val="24"/>
          <w:szCs w:val="24"/>
        </w:rPr>
        <w:t xml:space="preserve">, </w:t>
      </w:r>
      <w:r w:rsidRPr="00435F60">
        <w:rPr>
          <w:rFonts w:ascii="Times New Roman" w:eastAsiaTheme="minorEastAsia" w:hAnsi="Times New Roman" w:cs="Times New Roman"/>
          <w:sz w:val="24"/>
          <w:szCs w:val="24"/>
        </w:rPr>
        <w:t xml:space="preserve">2012). </w:t>
      </w:r>
      <w:r>
        <w:rPr>
          <w:rFonts w:ascii="Times New Roman" w:eastAsiaTheme="minorEastAsia" w:hAnsi="Times New Roman" w:cs="Times New Roman"/>
          <w:sz w:val="24"/>
          <w:szCs w:val="24"/>
        </w:rPr>
        <w:t xml:space="preserve">We follow </w:t>
      </w:r>
      <w:r w:rsidRPr="00435F60">
        <w:rPr>
          <w:rFonts w:ascii="Times New Roman" w:eastAsiaTheme="minorEastAsia" w:hAnsi="Times New Roman" w:cs="Times New Roman"/>
          <w:sz w:val="24"/>
          <w:szCs w:val="24"/>
        </w:rPr>
        <w:t xml:space="preserve">Cohen and Zarowin (2010) </w:t>
      </w:r>
      <w:r>
        <w:rPr>
          <w:rFonts w:ascii="Times New Roman" w:eastAsiaTheme="minorEastAsia" w:hAnsi="Times New Roman" w:cs="Times New Roman"/>
          <w:sz w:val="24"/>
          <w:szCs w:val="24"/>
        </w:rPr>
        <w:t>in</w:t>
      </w:r>
      <w:r w:rsidRPr="00435F60">
        <w:rPr>
          <w:rFonts w:ascii="Times New Roman" w:eastAsiaTheme="minorEastAsia" w:hAnsi="Times New Roman" w:cs="Times New Roman"/>
          <w:sz w:val="24"/>
          <w:szCs w:val="24"/>
        </w:rPr>
        <w:t xml:space="preserve"> aggregat</w:t>
      </w:r>
      <w:r>
        <w:rPr>
          <w:rFonts w:ascii="Times New Roman" w:eastAsiaTheme="minorEastAsia" w:hAnsi="Times New Roman" w:cs="Times New Roman"/>
          <w:sz w:val="24"/>
          <w:szCs w:val="24"/>
        </w:rPr>
        <w:t>ing</w:t>
      </w:r>
      <w:r w:rsidRPr="00435F60">
        <w:rPr>
          <w:rFonts w:ascii="Times New Roman" w:eastAsiaTheme="minorEastAsia" w:hAnsi="Times New Roman" w:cs="Times New Roman"/>
          <w:sz w:val="24"/>
          <w:szCs w:val="24"/>
        </w:rPr>
        <w:t xml:space="preserve"> </w:t>
      </w:r>
      <w:r w:rsidRPr="003734CB">
        <w:rPr>
          <w:rFonts w:ascii="Times New Roman" w:eastAsiaTheme="minorEastAsia" w:hAnsi="Times New Roman" w:cs="Times New Roman"/>
          <w:i/>
          <w:iCs/>
          <w:sz w:val="24"/>
          <w:szCs w:val="24"/>
        </w:rPr>
        <w:t>ADISX</w:t>
      </w:r>
      <w:r w:rsidRPr="00435F60">
        <w:rPr>
          <w:rFonts w:ascii="Times New Roman" w:eastAsiaTheme="minorEastAsia" w:hAnsi="Times New Roman" w:cs="Times New Roman"/>
          <w:sz w:val="24"/>
          <w:szCs w:val="24"/>
        </w:rPr>
        <w:t xml:space="preserve"> and </w:t>
      </w:r>
      <w:r w:rsidRPr="003734CB">
        <w:rPr>
          <w:rFonts w:ascii="Times New Roman" w:eastAsiaTheme="minorEastAsia" w:hAnsi="Times New Roman" w:cs="Times New Roman"/>
          <w:i/>
          <w:iCs/>
          <w:sz w:val="24"/>
          <w:szCs w:val="24"/>
        </w:rPr>
        <w:t>APROD</w:t>
      </w:r>
      <w:r w:rsidRPr="00435F60">
        <w:rPr>
          <w:rFonts w:ascii="Times New Roman" w:eastAsiaTheme="minorEastAsia" w:hAnsi="Times New Roman" w:cs="Times New Roman"/>
          <w:sz w:val="24"/>
          <w:szCs w:val="24"/>
        </w:rPr>
        <w:t xml:space="preserve"> into one proxy</w:t>
      </w:r>
      <w:r>
        <w:rPr>
          <w:rFonts w:ascii="Times New Roman" w:eastAsiaTheme="minorEastAsia" w:hAnsi="Times New Roman" w:cs="Times New Roman"/>
          <w:sz w:val="24"/>
          <w:szCs w:val="24"/>
        </w:rPr>
        <w:t xml:space="preserve"> measure of real activities manipulation denoted by</w:t>
      </w:r>
      <w:r w:rsidRPr="00435F60">
        <w:rPr>
          <w:rFonts w:ascii="Times New Roman" w:eastAsiaTheme="minorEastAsia" w:hAnsi="Times New Roman" w:cs="Times New Roman"/>
          <w:sz w:val="24"/>
          <w:szCs w:val="24"/>
        </w:rPr>
        <w:t xml:space="preserve"> </w:t>
      </w:r>
      <w:r w:rsidRPr="008B172E">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w:t>
      </w:r>
      <w:r>
        <w:rPr>
          <w:rStyle w:val="FootnoteReference"/>
          <w:rFonts w:eastAsiaTheme="minorEastAsia" w:cs="Times New Roman"/>
          <w:sz w:val="24"/>
          <w:szCs w:val="24"/>
        </w:rPr>
        <w:footnoteReference w:id="1"/>
      </w:r>
    </w:p>
    <w:p w14:paraId="202CCD02" w14:textId="71E53D4E" w:rsidR="008B0EE7" w:rsidRDefault="008B0EE7" w:rsidP="008B0EE7">
      <w:pPr>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As SEO firms are more likely to engage in income-increasing earnings management, we use the signed value for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We follow Choi</w:t>
      </w:r>
      <w:r w:rsidR="00AA5F4F">
        <w:rPr>
          <w:rFonts w:ascii="Times New Roman" w:eastAsiaTheme="minorEastAsia" w:hAnsi="Times New Roman" w:cs="Times New Roman"/>
          <w:sz w:val="24"/>
          <w:szCs w:val="24"/>
        </w:rPr>
        <w:t xml:space="preserve"> et al.</w:t>
      </w:r>
      <w:r>
        <w:rPr>
          <w:rFonts w:ascii="Times New Roman" w:eastAsiaTheme="minorEastAsia" w:hAnsi="Times New Roman" w:cs="Times New Roman"/>
          <w:sz w:val="24"/>
          <w:szCs w:val="24"/>
        </w:rPr>
        <w:t xml:space="preserve"> (2021) to convert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xml:space="preserve"> into decile ranks. This is to facilitate comparisons between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w:t>
      </w:r>
    </w:p>
    <w:p w14:paraId="71C19539" w14:textId="026DC8FC" w:rsidR="008B0EE7" w:rsidRDefault="008B0EE7" w:rsidP="008B0EE7">
      <w:pPr>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Following Badertscher </w:t>
      </w:r>
      <w:r w:rsidR="006702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2011</w:t>
      </w:r>
      <w:r w:rsidR="006702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we combine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xml:space="preserve"> into one measure, </w:t>
      </w:r>
      <w:r w:rsidRPr="001578CB">
        <w:rPr>
          <w:rFonts w:ascii="Times New Roman" w:eastAsiaTheme="minorEastAsia" w:hAnsi="Times New Roman" w:cs="Times New Roman"/>
          <w:i/>
          <w:iCs/>
          <w:sz w:val="24"/>
          <w:szCs w:val="24"/>
        </w:rPr>
        <w:t>TAR</w:t>
      </w:r>
      <w:r>
        <w:rPr>
          <w:rFonts w:ascii="Times New Roman" w:eastAsiaTheme="minorEastAsia" w:hAnsi="Times New Roman" w:cs="Times New Roman"/>
          <w:sz w:val="24"/>
          <w:szCs w:val="24"/>
        </w:rPr>
        <w:t xml:space="preserve"> to capture the total effect of both earnings management strategies. Since, in an SEO event, earnings levels can potentially influence share prices, one can argue that SEO firms are more likely to engage in more egregious earnings management by combining both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xml:space="preserve"> to achieve or exceed earnings targets. Therefore, the larger the level of </w:t>
      </w:r>
      <w:r w:rsidRPr="001578CB">
        <w:rPr>
          <w:rFonts w:ascii="Times New Roman" w:eastAsiaTheme="minorEastAsia" w:hAnsi="Times New Roman" w:cs="Times New Roman"/>
          <w:i/>
          <w:iCs/>
          <w:sz w:val="24"/>
          <w:szCs w:val="24"/>
        </w:rPr>
        <w:t>TAR</w:t>
      </w:r>
      <w:r>
        <w:rPr>
          <w:rFonts w:ascii="Times New Roman" w:eastAsiaTheme="minorEastAsia" w:hAnsi="Times New Roman" w:cs="Times New Roman"/>
          <w:sz w:val="24"/>
          <w:szCs w:val="24"/>
        </w:rPr>
        <w:t xml:space="preserve"> the more likely the firm is </w:t>
      </w:r>
      <w:r w:rsidR="004742FB">
        <w:rPr>
          <w:rFonts w:ascii="Times New Roman" w:eastAsiaTheme="minorEastAsia" w:hAnsi="Times New Roman" w:cs="Times New Roman"/>
          <w:sz w:val="24"/>
          <w:szCs w:val="24"/>
        </w:rPr>
        <w:t xml:space="preserve">to have </w:t>
      </w:r>
      <w:r>
        <w:rPr>
          <w:rFonts w:ascii="Times New Roman" w:eastAsiaTheme="minorEastAsia" w:hAnsi="Times New Roman" w:cs="Times New Roman"/>
          <w:sz w:val="24"/>
          <w:szCs w:val="24"/>
        </w:rPr>
        <w:t>engag</w:t>
      </w:r>
      <w:r w:rsidR="004742FB">
        <w:rPr>
          <w:rFonts w:ascii="Times New Roman" w:eastAsiaTheme="minorEastAsia" w:hAnsi="Times New Roman" w:cs="Times New Roman"/>
          <w:sz w:val="24"/>
          <w:szCs w:val="24"/>
        </w:rPr>
        <w:t>ed</w:t>
      </w:r>
      <w:r>
        <w:rPr>
          <w:rFonts w:ascii="Times New Roman" w:eastAsiaTheme="minorEastAsia" w:hAnsi="Times New Roman" w:cs="Times New Roman"/>
          <w:sz w:val="24"/>
          <w:szCs w:val="24"/>
        </w:rPr>
        <w:t xml:space="preserve"> in earnings management.</w:t>
      </w:r>
    </w:p>
    <w:p w14:paraId="2489C26E" w14:textId="7A069AAF" w:rsidR="00C16CA7" w:rsidRDefault="008B0EE7" w:rsidP="008B0EE7">
      <w:pPr>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coefficients on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xml:space="preserve"> represent the impacts of the </w:t>
      </w:r>
      <w:r w:rsidRPr="001578CB">
        <w:rPr>
          <w:rFonts w:ascii="Times New Roman" w:eastAsiaTheme="minorEastAsia" w:hAnsi="Times New Roman" w:cs="Times New Roman"/>
          <w:i/>
          <w:iCs/>
          <w:sz w:val="24"/>
          <w:szCs w:val="24"/>
        </w:rPr>
        <w:t>AEM</w:t>
      </w:r>
      <w:r>
        <w:rPr>
          <w:rFonts w:ascii="Times New Roman" w:eastAsiaTheme="minorEastAsia" w:hAnsi="Times New Roman" w:cs="Times New Roman"/>
          <w:sz w:val="24"/>
          <w:szCs w:val="24"/>
        </w:rPr>
        <w:t xml:space="preserve"> and </w:t>
      </w:r>
      <w:r w:rsidRPr="001578CB">
        <w:rPr>
          <w:rFonts w:ascii="Times New Roman" w:eastAsiaTheme="minorEastAsia" w:hAnsi="Times New Roman" w:cs="Times New Roman"/>
          <w:i/>
          <w:iCs/>
          <w:sz w:val="24"/>
          <w:szCs w:val="24"/>
        </w:rPr>
        <w:t>RAM</w:t>
      </w:r>
      <w:r>
        <w:rPr>
          <w:rFonts w:ascii="Times New Roman" w:eastAsiaTheme="minorEastAsia" w:hAnsi="Times New Roman" w:cs="Times New Roman"/>
          <w:sz w:val="24"/>
          <w:szCs w:val="24"/>
        </w:rPr>
        <w:t xml:space="preserve"> strategies, respectively. We expect both coefficients to be negative, as prior studies find that earnings management is detrimental to firm value. </w:t>
      </w:r>
      <w:r w:rsidRPr="001578CB">
        <w:rPr>
          <w:rFonts w:ascii="Times New Roman" w:eastAsiaTheme="minorEastAsia" w:hAnsi="Times New Roman" w:cs="Times New Roman"/>
          <w:i/>
          <w:iCs/>
          <w:sz w:val="24"/>
          <w:szCs w:val="24"/>
        </w:rPr>
        <w:t>LAW</w:t>
      </w:r>
      <w:r w:rsidRPr="003A487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w:t>
      </w:r>
      <w:r w:rsidR="00593FEA">
        <w:rPr>
          <w:rFonts w:ascii="Times New Roman" w:eastAsiaTheme="minorEastAsia" w:hAnsi="Times New Roman" w:cs="Times New Roman"/>
          <w:sz w:val="24"/>
          <w:szCs w:val="24"/>
        </w:rPr>
        <w:t>measured as the a</w:t>
      </w:r>
      <w:r w:rsidR="00336454">
        <w:rPr>
          <w:rFonts w:ascii="Times New Roman" w:eastAsiaTheme="minorEastAsia" w:hAnsi="Times New Roman" w:cs="Times New Roman"/>
          <w:sz w:val="24"/>
          <w:szCs w:val="24"/>
        </w:rPr>
        <w:t xml:space="preserve">verage of the six </w:t>
      </w:r>
      <w:r w:rsidR="009E2E00">
        <w:rPr>
          <w:rFonts w:ascii="Times New Roman" w:eastAsiaTheme="minorEastAsia" w:hAnsi="Times New Roman" w:cs="Times New Roman"/>
          <w:sz w:val="24"/>
          <w:szCs w:val="24"/>
        </w:rPr>
        <w:t>world governance indicators</w:t>
      </w:r>
      <w:r w:rsidR="00731D00">
        <w:rPr>
          <w:rFonts w:ascii="Times New Roman" w:eastAsiaTheme="minorEastAsia" w:hAnsi="Times New Roman" w:cs="Times New Roman"/>
          <w:sz w:val="24"/>
          <w:szCs w:val="24"/>
        </w:rPr>
        <w:t xml:space="preserve"> </w:t>
      </w:r>
      <w:r w:rsidR="009E3C05">
        <w:rPr>
          <w:rFonts w:ascii="Times New Roman" w:eastAsiaTheme="minorEastAsia" w:hAnsi="Times New Roman" w:cs="Times New Roman"/>
          <w:sz w:val="24"/>
          <w:szCs w:val="24"/>
        </w:rPr>
        <w:t xml:space="preserve">for each country and year </w:t>
      </w:r>
      <w:r w:rsidR="00537810">
        <w:rPr>
          <w:rFonts w:ascii="Times New Roman" w:eastAsiaTheme="minorEastAsia" w:hAnsi="Times New Roman" w:cs="Times New Roman"/>
          <w:sz w:val="24"/>
          <w:szCs w:val="24"/>
        </w:rPr>
        <w:t>as reported by the World Bank</w:t>
      </w:r>
      <w:r w:rsidR="00731D00">
        <w:rPr>
          <w:rFonts w:ascii="Times New Roman" w:eastAsiaTheme="minorEastAsia" w:hAnsi="Times New Roman" w:cs="Times New Roman"/>
          <w:sz w:val="24"/>
          <w:szCs w:val="24"/>
        </w:rPr>
        <w:t xml:space="preserve">. </w:t>
      </w:r>
      <w:r w:rsidR="00537810">
        <w:rPr>
          <w:rFonts w:ascii="Times New Roman" w:eastAsiaTheme="minorEastAsia" w:hAnsi="Times New Roman" w:cs="Times New Roman"/>
          <w:sz w:val="24"/>
          <w:szCs w:val="24"/>
        </w:rPr>
        <w:t xml:space="preserve">These indicators </w:t>
      </w:r>
      <w:r>
        <w:rPr>
          <w:rFonts w:ascii="Times New Roman" w:eastAsiaTheme="minorEastAsia" w:hAnsi="Times New Roman" w:cs="Times New Roman"/>
          <w:sz w:val="24"/>
          <w:szCs w:val="24"/>
        </w:rPr>
        <w:t xml:space="preserve">range from -2.5 for weak governance </w:t>
      </w:r>
      <w:r w:rsidR="004742FB">
        <w:rPr>
          <w:rFonts w:ascii="Times New Roman" w:eastAsiaTheme="minorEastAsia" w:hAnsi="Times New Roman" w:cs="Times New Roman"/>
          <w:sz w:val="24"/>
          <w:szCs w:val="24"/>
        </w:rPr>
        <w:t xml:space="preserve">to </w:t>
      </w:r>
      <w:r>
        <w:rPr>
          <w:rFonts w:ascii="Times New Roman" w:eastAsiaTheme="minorEastAsia" w:hAnsi="Times New Roman" w:cs="Times New Roman"/>
          <w:sz w:val="24"/>
          <w:szCs w:val="24"/>
        </w:rPr>
        <w:t xml:space="preserve">2.5 for strong governance (World Bank, 2019). We </w:t>
      </w:r>
      <w:r w:rsidR="00E0335F">
        <w:rPr>
          <w:rFonts w:ascii="Times New Roman" w:eastAsiaTheme="minorEastAsia" w:hAnsi="Times New Roman" w:cs="Times New Roman"/>
          <w:sz w:val="24"/>
          <w:szCs w:val="24"/>
        </w:rPr>
        <w:t>expect that th</w:t>
      </w:r>
      <w:r w:rsidR="00E0335F" w:rsidRPr="009644F4">
        <w:rPr>
          <w:rFonts w:ascii="Times New Roman" w:eastAsiaTheme="minorEastAsia" w:hAnsi="Times New Roman" w:cs="Times New Roman"/>
          <w:sz w:val="24"/>
          <w:szCs w:val="24"/>
        </w:rPr>
        <w:t xml:space="preserve">e coefficient on </w:t>
      </w:r>
      <w:r w:rsidRPr="001578CB">
        <w:rPr>
          <w:rFonts w:ascii="Times New Roman" w:eastAsiaTheme="minorEastAsia" w:hAnsi="Times New Roman" w:cs="Times New Roman"/>
          <w:i/>
          <w:iCs/>
          <w:sz w:val="24"/>
          <w:szCs w:val="24"/>
        </w:rPr>
        <w:t>LAW</w:t>
      </w:r>
      <w:r>
        <w:rPr>
          <w:rFonts w:ascii="Times New Roman" w:eastAsiaTheme="minorEastAsia" w:hAnsi="Times New Roman" w:cs="Times New Roman"/>
          <w:sz w:val="24"/>
          <w:szCs w:val="24"/>
        </w:rPr>
        <w:t xml:space="preserve"> could be positive or negative. This is because, on </w:t>
      </w:r>
      <w:r w:rsidR="00A9312B">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one hand, countries with stronger legal regimes enhance financial reporting quality, which translates to high firm value. On the other hand, strong legal regimes increase litigation risk and impose extra regulatory costs on firms and, thus, affect firm value negatively.</w:t>
      </w:r>
    </w:p>
    <w:p w14:paraId="2A86A132" w14:textId="44655788" w:rsidR="008B0EE7" w:rsidRPr="00C33751" w:rsidRDefault="008B4491" w:rsidP="008B0EE7">
      <w:pPr>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test</w:t>
      </w:r>
      <w:r w:rsidR="008B0EE7">
        <w:rPr>
          <w:rFonts w:ascii="Times New Roman" w:eastAsiaTheme="minorEastAsia" w:hAnsi="Times New Roman" w:cs="Times New Roman"/>
          <w:sz w:val="24"/>
          <w:szCs w:val="24"/>
        </w:rPr>
        <w:t xml:space="preserve"> Hypothesis 1, we compare the </w:t>
      </w:r>
      <w:r>
        <w:rPr>
          <w:rFonts w:ascii="Times New Roman" w:eastAsiaTheme="minorEastAsia" w:hAnsi="Times New Roman" w:cs="Times New Roman"/>
          <w:sz w:val="24"/>
          <w:szCs w:val="24"/>
        </w:rPr>
        <w:t xml:space="preserve">magnitudes of the </w:t>
      </w:r>
      <w:r w:rsidR="008B0EE7">
        <w:rPr>
          <w:rFonts w:ascii="Times New Roman" w:eastAsiaTheme="minorEastAsia" w:hAnsi="Times New Roman" w:cs="Times New Roman"/>
          <w:sz w:val="24"/>
          <w:szCs w:val="24"/>
        </w:rPr>
        <w:t>coefficient</w:t>
      </w:r>
      <w:r>
        <w:rPr>
          <w:rFonts w:ascii="Times New Roman" w:eastAsiaTheme="minorEastAsia" w:hAnsi="Times New Roman" w:cs="Times New Roman"/>
          <w:sz w:val="24"/>
          <w:szCs w:val="24"/>
        </w:rPr>
        <w:t>s on</w:t>
      </w:r>
      <w:r w:rsidR="008B0EE7">
        <w:rPr>
          <w:rFonts w:ascii="Times New Roman" w:eastAsiaTheme="minorEastAsia" w:hAnsi="Times New Roman" w:cs="Times New Roman"/>
          <w:sz w:val="24"/>
          <w:szCs w:val="24"/>
        </w:rPr>
        <w:t xml:space="preserve"> </w:t>
      </w:r>
      <w:r w:rsidR="008B0EE7" w:rsidRPr="001578CB">
        <w:rPr>
          <w:rFonts w:ascii="Times New Roman" w:eastAsiaTheme="minorEastAsia" w:hAnsi="Times New Roman" w:cs="Times New Roman"/>
          <w:i/>
          <w:iCs/>
          <w:sz w:val="24"/>
          <w:szCs w:val="24"/>
        </w:rPr>
        <w:t>AEM</w:t>
      </w:r>
      <w:r w:rsidR="008B0EE7">
        <w:rPr>
          <w:rFonts w:ascii="Times New Roman" w:eastAsiaTheme="minorEastAsia" w:hAnsi="Times New Roman" w:cs="Times New Roman"/>
          <w:sz w:val="24"/>
          <w:szCs w:val="24"/>
        </w:rPr>
        <w:t xml:space="preserve"> and </w:t>
      </w:r>
      <w:r w:rsidR="008B0EE7" w:rsidRPr="001578CB">
        <w:rPr>
          <w:rFonts w:ascii="Times New Roman" w:eastAsiaTheme="minorEastAsia" w:hAnsi="Times New Roman" w:cs="Times New Roman"/>
          <w:i/>
          <w:iCs/>
          <w:sz w:val="24"/>
          <w:szCs w:val="24"/>
        </w:rPr>
        <w:t>RAM</w:t>
      </w:r>
      <w:r w:rsidR="008B0EE7">
        <w:rPr>
          <w:rFonts w:ascii="Times New Roman" w:eastAsiaTheme="minorEastAsia" w:hAnsi="Times New Roman" w:cs="Times New Roman"/>
          <w:sz w:val="24"/>
          <w:szCs w:val="24"/>
        </w:rPr>
        <w:t xml:space="preserve"> in Equation (1). Specifically, the </w:t>
      </w:r>
      <w:r w:rsidR="0048373B">
        <w:rPr>
          <w:rFonts w:ascii="Times New Roman" w:eastAsiaTheme="minorEastAsia" w:hAnsi="Times New Roman" w:cs="Times New Roman"/>
          <w:sz w:val="24"/>
          <w:szCs w:val="24"/>
        </w:rPr>
        <w:t>results would support Hypothesis 1 if</w:t>
      </w:r>
      <w:r w:rsidR="008B0EE7">
        <w:rPr>
          <w:rFonts w:ascii="Times New Roman" w:eastAsiaTheme="minorEastAsia" w:hAnsi="Times New Roman" w:cs="Times New Roman"/>
          <w:sz w:val="24"/>
          <w:szCs w:val="24"/>
        </w:rPr>
        <w:t xml:space="preserve"> the coefficient on </w:t>
      </w:r>
      <w:r w:rsidR="00897940" w:rsidRPr="001578CB">
        <w:rPr>
          <w:rFonts w:ascii="Times New Roman" w:eastAsiaTheme="minorEastAsia" w:hAnsi="Times New Roman" w:cs="Times New Roman"/>
          <w:i/>
          <w:iCs/>
          <w:sz w:val="24"/>
          <w:szCs w:val="24"/>
        </w:rPr>
        <w:t>R</w:t>
      </w:r>
      <w:r w:rsidR="008B0EE7" w:rsidRPr="001578CB">
        <w:rPr>
          <w:rFonts w:ascii="Times New Roman" w:eastAsiaTheme="minorEastAsia" w:hAnsi="Times New Roman" w:cs="Times New Roman"/>
          <w:i/>
          <w:iCs/>
          <w:sz w:val="24"/>
          <w:szCs w:val="24"/>
        </w:rPr>
        <w:t>AM</w:t>
      </w:r>
      <w:r w:rsidR="008B0EE7">
        <w:rPr>
          <w:rFonts w:ascii="Times New Roman" w:eastAsiaTheme="minorEastAsia" w:hAnsi="Times New Roman" w:cs="Times New Roman"/>
          <w:sz w:val="24"/>
          <w:szCs w:val="24"/>
        </w:rPr>
        <w:t xml:space="preserve"> </w:t>
      </w:r>
      <w:r w:rsidR="002C5638">
        <w:rPr>
          <w:rFonts w:ascii="Times New Roman" w:eastAsiaTheme="minorEastAsia" w:hAnsi="Times New Roman" w:cs="Times New Roman"/>
          <w:sz w:val="24"/>
          <w:szCs w:val="24"/>
        </w:rPr>
        <w:t xml:space="preserve">is </w:t>
      </w:r>
      <w:r w:rsidR="008B0EE7">
        <w:rPr>
          <w:rFonts w:ascii="Times New Roman" w:eastAsiaTheme="minorEastAsia" w:hAnsi="Times New Roman" w:cs="Times New Roman"/>
          <w:sz w:val="24"/>
          <w:szCs w:val="24"/>
        </w:rPr>
        <w:t xml:space="preserve">larger than that on </w:t>
      </w:r>
      <w:r w:rsidR="008B0EE7" w:rsidRPr="001578CB">
        <w:rPr>
          <w:rFonts w:ascii="Times New Roman" w:eastAsiaTheme="minorEastAsia" w:hAnsi="Times New Roman" w:cs="Times New Roman"/>
          <w:i/>
          <w:iCs/>
          <w:sz w:val="24"/>
          <w:szCs w:val="24"/>
        </w:rPr>
        <w:t>A</w:t>
      </w:r>
      <w:r w:rsidR="00322C58">
        <w:rPr>
          <w:rFonts w:ascii="Times New Roman" w:eastAsiaTheme="minorEastAsia" w:hAnsi="Times New Roman" w:cs="Times New Roman"/>
          <w:i/>
          <w:iCs/>
          <w:sz w:val="24"/>
          <w:szCs w:val="24"/>
        </w:rPr>
        <w:t>E</w:t>
      </w:r>
      <w:r w:rsidR="008B0EE7" w:rsidRPr="001578CB">
        <w:rPr>
          <w:rFonts w:ascii="Times New Roman" w:eastAsiaTheme="minorEastAsia" w:hAnsi="Times New Roman" w:cs="Times New Roman"/>
          <w:i/>
          <w:iCs/>
          <w:sz w:val="24"/>
          <w:szCs w:val="24"/>
        </w:rPr>
        <w:t>M</w:t>
      </w:r>
      <w:r w:rsidR="008B0EE7">
        <w:rPr>
          <w:rFonts w:ascii="Times New Roman" w:eastAsiaTheme="minorEastAsia" w:hAnsi="Times New Roman" w:cs="Times New Roman"/>
          <w:sz w:val="24"/>
          <w:szCs w:val="24"/>
        </w:rPr>
        <w:t xml:space="preserve">. In Equation (2), we examine the </w:t>
      </w:r>
      <w:r w:rsidR="009D380B">
        <w:rPr>
          <w:rFonts w:ascii="Times New Roman" w:eastAsiaTheme="minorEastAsia" w:hAnsi="Times New Roman" w:cs="Times New Roman"/>
          <w:sz w:val="24"/>
          <w:szCs w:val="24"/>
        </w:rPr>
        <w:t>combined</w:t>
      </w:r>
      <w:r w:rsidR="008B0EE7">
        <w:rPr>
          <w:rFonts w:ascii="Times New Roman" w:eastAsiaTheme="minorEastAsia" w:hAnsi="Times New Roman" w:cs="Times New Roman"/>
          <w:sz w:val="24"/>
          <w:szCs w:val="24"/>
        </w:rPr>
        <w:t xml:space="preserve"> effect of both earnings management strategies </w:t>
      </w:r>
      <w:r w:rsidR="009D380B">
        <w:rPr>
          <w:rFonts w:ascii="Times New Roman" w:eastAsiaTheme="minorEastAsia" w:hAnsi="Times New Roman" w:cs="Times New Roman"/>
          <w:sz w:val="24"/>
          <w:szCs w:val="24"/>
        </w:rPr>
        <w:t xml:space="preserve">around </w:t>
      </w:r>
      <w:r w:rsidR="008B0EE7">
        <w:rPr>
          <w:rFonts w:ascii="Times New Roman" w:eastAsiaTheme="minorEastAsia" w:hAnsi="Times New Roman" w:cs="Times New Roman"/>
          <w:sz w:val="24"/>
          <w:szCs w:val="24"/>
        </w:rPr>
        <w:t>SEO</w:t>
      </w:r>
      <w:r w:rsidR="00AD2BE1">
        <w:rPr>
          <w:rFonts w:ascii="Times New Roman" w:eastAsiaTheme="minorEastAsia" w:hAnsi="Times New Roman" w:cs="Times New Roman"/>
          <w:sz w:val="24"/>
          <w:szCs w:val="24"/>
        </w:rPr>
        <w:t>s</w:t>
      </w:r>
      <w:r w:rsidR="008B0EE7">
        <w:rPr>
          <w:rFonts w:ascii="Times New Roman" w:eastAsiaTheme="minorEastAsia" w:hAnsi="Times New Roman" w:cs="Times New Roman"/>
          <w:sz w:val="24"/>
          <w:szCs w:val="24"/>
        </w:rPr>
        <w:t xml:space="preserve">. Equation (3) adds the interaction terms </w:t>
      </w:r>
      <w:r w:rsidR="008B0EE7" w:rsidRPr="001578CB">
        <w:rPr>
          <w:rFonts w:ascii="Times New Roman" w:eastAsiaTheme="minorEastAsia" w:hAnsi="Times New Roman" w:cs="Times New Roman"/>
          <w:i/>
          <w:iCs/>
          <w:sz w:val="24"/>
          <w:szCs w:val="24"/>
        </w:rPr>
        <w:t>AEM*LAW</w:t>
      </w:r>
      <w:r w:rsidR="008B0EE7">
        <w:rPr>
          <w:rFonts w:ascii="Times New Roman" w:eastAsiaTheme="minorEastAsia" w:hAnsi="Times New Roman" w:cs="Times New Roman"/>
          <w:sz w:val="24"/>
          <w:szCs w:val="24"/>
        </w:rPr>
        <w:t xml:space="preserve"> and </w:t>
      </w:r>
      <w:r w:rsidR="008B0EE7" w:rsidRPr="001578CB">
        <w:rPr>
          <w:rFonts w:ascii="Times New Roman" w:eastAsiaTheme="minorEastAsia" w:hAnsi="Times New Roman" w:cs="Times New Roman"/>
          <w:i/>
          <w:iCs/>
          <w:sz w:val="24"/>
          <w:szCs w:val="24"/>
        </w:rPr>
        <w:t>RAM*LAW</w:t>
      </w:r>
      <w:r w:rsidR="008B0EE7">
        <w:rPr>
          <w:rFonts w:ascii="Times New Roman" w:eastAsiaTheme="minorEastAsia" w:hAnsi="Times New Roman" w:cs="Times New Roman"/>
          <w:sz w:val="24"/>
          <w:szCs w:val="24"/>
        </w:rPr>
        <w:t xml:space="preserve"> to Equation (1)</w:t>
      </w:r>
      <w:r w:rsidR="00D61663">
        <w:rPr>
          <w:rFonts w:ascii="Times New Roman" w:eastAsiaTheme="minorEastAsia" w:hAnsi="Times New Roman" w:cs="Times New Roman"/>
          <w:sz w:val="24"/>
          <w:szCs w:val="24"/>
        </w:rPr>
        <w:t xml:space="preserve"> and provides the basis for the test of Hypothesis H2. The results would support Hypothesis H2 if the</w:t>
      </w:r>
      <w:r w:rsidR="008B0EE7">
        <w:rPr>
          <w:rFonts w:ascii="Times New Roman" w:eastAsiaTheme="minorEastAsia" w:hAnsi="Times New Roman" w:cs="Times New Roman"/>
          <w:sz w:val="24"/>
          <w:szCs w:val="24"/>
        </w:rPr>
        <w:t xml:space="preserve"> coefficient on </w:t>
      </w:r>
      <w:r w:rsidR="004069CD">
        <w:rPr>
          <w:rFonts w:ascii="Times New Roman" w:eastAsiaTheme="minorEastAsia" w:hAnsi="Times New Roman" w:cs="Times New Roman"/>
          <w:i/>
          <w:iCs/>
          <w:sz w:val="24"/>
          <w:szCs w:val="24"/>
        </w:rPr>
        <w:t>RA</w:t>
      </w:r>
      <w:r w:rsidR="008B0EE7" w:rsidRPr="001578CB">
        <w:rPr>
          <w:rFonts w:ascii="Times New Roman" w:eastAsiaTheme="minorEastAsia" w:hAnsi="Times New Roman" w:cs="Times New Roman"/>
          <w:i/>
          <w:iCs/>
          <w:sz w:val="24"/>
          <w:szCs w:val="24"/>
        </w:rPr>
        <w:t>M*LAW</w:t>
      </w:r>
      <w:r w:rsidR="008B0EE7">
        <w:rPr>
          <w:rFonts w:ascii="Times New Roman" w:eastAsiaTheme="minorEastAsia" w:hAnsi="Times New Roman" w:cs="Times New Roman"/>
          <w:sz w:val="24"/>
          <w:szCs w:val="24"/>
        </w:rPr>
        <w:t xml:space="preserve"> </w:t>
      </w:r>
      <w:r w:rsidR="004069CD">
        <w:rPr>
          <w:rFonts w:ascii="Times New Roman" w:eastAsiaTheme="minorEastAsia" w:hAnsi="Times New Roman" w:cs="Times New Roman"/>
          <w:sz w:val="24"/>
          <w:szCs w:val="24"/>
        </w:rPr>
        <w:t>is</w:t>
      </w:r>
      <w:r w:rsidR="008B0EE7">
        <w:rPr>
          <w:rFonts w:ascii="Times New Roman" w:eastAsiaTheme="minorEastAsia" w:hAnsi="Times New Roman" w:cs="Times New Roman"/>
          <w:sz w:val="24"/>
          <w:szCs w:val="24"/>
        </w:rPr>
        <w:t xml:space="preserve"> larger than that on </w:t>
      </w:r>
      <w:r w:rsidR="00801AFD">
        <w:rPr>
          <w:rFonts w:ascii="Times New Roman" w:eastAsiaTheme="minorEastAsia" w:hAnsi="Times New Roman" w:cs="Times New Roman"/>
          <w:i/>
          <w:iCs/>
          <w:sz w:val="24"/>
          <w:szCs w:val="24"/>
        </w:rPr>
        <w:t>AE</w:t>
      </w:r>
      <w:r w:rsidR="008B0EE7" w:rsidRPr="001578CB">
        <w:rPr>
          <w:rFonts w:ascii="Times New Roman" w:eastAsiaTheme="minorEastAsia" w:hAnsi="Times New Roman" w:cs="Times New Roman"/>
          <w:i/>
          <w:iCs/>
          <w:sz w:val="24"/>
          <w:szCs w:val="24"/>
        </w:rPr>
        <w:t>M*LAW</w:t>
      </w:r>
      <w:r w:rsidR="008B0EE7">
        <w:rPr>
          <w:rFonts w:ascii="Times New Roman" w:eastAsiaTheme="minorEastAsia" w:hAnsi="Times New Roman" w:cs="Times New Roman"/>
          <w:sz w:val="24"/>
          <w:szCs w:val="24"/>
        </w:rPr>
        <w:t>.</w:t>
      </w:r>
    </w:p>
    <w:p w14:paraId="09E2CDD0" w14:textId="6259F3EE" w:rsidR="008B0EE7" w:rsidRPr="00CD5568" w:rsidRDefault="008B0EE7" w:rsidP="008B0EE7">
      <w:pPr>
        <w:spacing w:after="0" w:line="480" w:lineRule="auto"/>
        <w:ind w:firstLine="284"/>
        <w:jc w:val="both"/>
        <w:rPr>
          <w:rFonts w:ascii="Times New Roman" w:eastAsiaTheme="minorEastAsia" w:hAnsi="Times New Roman" w:cs="Times New Roman"/>
          <w:sz w:val="24"/>
          <w:szCs w:val="24"/>
        </w:rPr>
      </w:pPr>
      <w:r w:rsidRPr="00CD5568">
        <w:rPr>
          <w:rFonts w:ascii="Times New Roman" w:eastAsiaTheme="minorEastAsia" w:hAnsi="Times New Roman" w:cs="Times New Roman"/>
          <w:sz w:val="24"/>
          <w:szCs w:val="24"/>
        </w:rPr>
        <w:lastRenderedPageBreak/>
        <w:t xml:space="preserve">Following previous studies, we include several control variables in our regression models that may </w:t>
      </w:r>
      <w:r>
        <w:rPr>
          <w:rFonts w:ascii="Times New Roman" w:eastAsiaTheme="minorEastAsia" w:hAnsi="Times New Roman" w:cs="Times New Roman"/>
          <w:sz w:val="24"/>
          <w:szCs w:val="24"/>
        </w:rPr>
        <w:t>affe</w:t>
      </w:r>
      <w:r w:rsidRPr="00CD5568">
        <w:rPr>
          <w:rFonts w:ascii="Times New Roman" w:eastAsiaTheme="minorEastAsia" w:hAnsi="Times New Roman" w:cs="Times New Roman"/>
          <w:sz w:val="24"/>
          <w:szCs w:val="24"/>
        </w:rPr>
        <w:t xml:space="preserve">ct post-SEO performance (e.g., Cohen </w:t>
      </w:r>
      <w:r w:rsidR="00597DA6">
        <w:rPr>
          <w:rFonts w:ascii="Times New Roman" w:eastAsiaTheme="minorEastAsia" w:hAnsi="Times New Roman" w:cs="Times New Roman"/>
          <w:sz w:val="24"/>
          <w:szCs w:val="24"/>
        </w:rPr>
        <w:t>and</w:t>
      </w:r>
      <w:r w:rsidRPr="00CD5568">
        <w:rPr>
          <w:rFonts w:ascii="Times New Roman" w:eastAsiaTheme="minorEastAsia" w:hAnsi="Times New Roman" w:cs="Times New Roman"/>
          <w:sz w:val="24"/>
          <w:szCs w:val="24"/>
        </w:rPr>
        <w:t xml:space="preserve"> Zarowin, 2010; Intintoli</w:t>
      </w:r>
      <w:r w:rsidR="00CF7356">
        <w:rPr>
          <w:rFonts w:ascii="Times New Roman" w:hAnsi="Times New Roman" w:cs="Times New Roman"/>
          <w:sz w:val="24"/>
          <w:szCs w:val="24"/>
        </w:rPr>
        <w:t xml:space="preserve"> et al</w:t>
      </w:r>
      <w:r w:rsidRPr="00E60BBC">
        <w:rPr>
          <w:rFonts w:ascii="Times New Roman" w:hAnsi="Times New Roman" w:cs="Times New Roman"/>
          <w:sz w:val="24"/>
          <w:szCs w:val="24"/>
        </w:rPr>
        <w:t>.,</w:t>
      </w:r>
      <w:r w:rsidRPr="00CD5568" w:rsidDel="006332D7">
        <w:rPr>
          <w:rFonts w:ascii="Times New Roman" w:eastAsiaTheme="minorEastAsia" w:hAnsi="Times New Roman" w:cs="Times New Roman"/>
          <w:sz w:val="24"/>
          <w:szCs w:val="24"/>
        </w:rPr>
        <w:t xml:space="preserve"> </w:t>
      </w:r>
      <w:r w:rsidRPr="00CD5568">
        <w:rPr>
          <w:rFonts w:ascii="Times New Roman" w:eastAsiaTheme="minorEastAsia" w:hAnsi="Times New Roman" w:cs="Times New Roman"/>
          <w:sz w:val="24"/>
          <w:szCs w:val="24"/>
        </w:rPr>
        <w:t xml:space="preserve">2014; Kurt, 2018; Lee </w:t>
      </w:r>
      <w:r w:rsidR="00597DA6">
        <w:rPr>
          <w:rFonts w:ascii="Times New Roman" w:eastAsiaTheme="minorEastAsia" w:hAnsi="Times New Roman" w:cs="Times New Roman"/>
          <w:sz w:val="24"/>
          <w:szCs w:val="24"/>
        </w:rPr>
        <w:t>and</w:t>
      </w:r>
      <w:r w:rsidRPr="00CD5568">
        <w:rPr>
          <w:rFonts w:ascii="Times New Roman" w:eastAsiaTheme="minorEastAsia" w:hAnsi="Times New Roman" w:cs="Times New Roman"/>
          <w:sz w:val="24"/>
          <w:szCs w:val="24"/>
        </w:rPr>
        <w:t xml:space="preserve"> Masulis, 2009; </w:t>
      </w:r>
      <w:r w:rsidRPr="00CD5568">
        <w:rPr>
          <w:rFonts w:ascii="Times New Roman" w:hAnsi="Times New Roman" w:cs="Times New Roman"/>
          <w:sz w:val="24"/>
          <w:szCs w:val="24"/>
        </w:rPr>
        <w:t xml:space="preserve">Lobo </w:t>
      </w:r>
      <w:r w:rsidR="00597DA6">
        <w:rPr>
          <w:rFonts w:ascii="Times New Roman" w:hAnsi="Times New Roman" w:cs="Times New Roman"/>
          <w:sz w:val="24"/>
          <w:szCs w:val="24"/>
        </w:rPr>
        <w:t>and</w:t>
      </w:r>
      <w:r w:rsidRPr="00CD5568">
        <w:rPr>
          <w:rFonts w:ascii="Times New Roman" w:hAnsi="Times New Roman" w:cs="Times New Roman"/>
          <w:sz w:val="24"/>
          <w:szCs w:val="24"/>
        </w:rPr>
        <w:t xml:space="preserve"> Zhou, 2006; </w:t>
      </w:r>
      <w:r w:rsidRPr="00CD5568">
        <w:rPr>
          <w:rFonts w:ascii="Times New Roman" w:eastAsiaTheme="minorEastAsia" w:hAnsi="Times New Roman" w:cs="Times New Roman"/>
          <w:sz w:val="24"/>
          <w:szCs w:val="24"/>
        </w:rPr>
        <w:t xml:space="preserve">Loughran </w:t>
      </w:r>
      <w:r w:rsidR="00597DA6">
        <w:rPr>
          <w:rFonts w:ascii="Times New Roman" w:eastAsiaTheme="minorEastAsia" w:hAnsi="Times New Roman" w:cs="Times New Roman"/>
          <w:sz w:val="24"/>
          <w:szCs w:val="24"/>
        </w:rPr>
        <w:t>and</w:t>
      </w:r>
      <w:r w:rsidRPr="00CD5568">
        <w:rPr>
          <w:rFonts w:ascii="Times New Roman" w:eastAsiaTheme="minorEastAsia" w:hAnsi="Times New Roman" w:cs="Times New Roman"/>
          <w:sz w:val="24"/>
          <w:szCs w:val="24"/>
        </w:rPr>
        <w:t xml:space="preserve"> Ritter 1997;</w:t>
      </w:r>
      <w:r w:rsidRPr="00CD5568">
        <w:rPr>
          <w:rFonts w:ascii="Times New Roman" w:hAnsi="Times New Roman" w:cs="Times New Roman"/>
          <w:sz w:val="24"/>
          <w:szCs w:val="24"/>
        </w:rPr>
        <w:t xml:space="preserve"> </w:t>
      </w:r>
      <w:r w:rsidRPr="005632E5">
        <w:rPr>
          <w:rFonts w:ascii="Times New Roman" w:eastAsiaTheme="minorEastAsia" w:hAnsi="Times New Roman" w:cs="Times New Roman"/>
          <w:sz w:val="24"/>
          <w:szCs w:val="24"/>
        </w:rPr>
        <w:t>McLaughlin</w:t>
      </w:r>
      <w:r w:rsidR="00CF7356">
        <w:rPr>
          <w:rFonts w:ascii="Times New Roman" w:eastAsiaTheme="minorEastAsia" w:hAnsi="Times New Roman" w:cs="Times New Roman"/>
          <w:sz w:val="24"/>
          <w:szCs w:val="24"/>
        </w:rPr>
        <w:t xml:space="preserve"> et al</w:t>
      </w:r>
      <w:r w:rsidR="00B84BD8">
        <w:rPr>
          <w:rFonts w:ascii="Times New Roman" w:eastAsiaTheme="minorEastAsia" w:hAnsi="Times New Roman" w:cs="Times New Roman"/>
          <w:sz w:val="24"/>
          <w:szCs w:val="24"/>
        </w:rPr>
        <w:t>.,</w:t>
      </w:r>
      <w:r w:rsidRPr="00023517" w:rsidDel="00023517">
        <w:rPr>
          <w:rFonts w:ascii="Times New Roman" w:eastAsiaTheme="minorEastAsia" w:hAnsi="Times New Roman" w:cs="Times New Roman"/>
          <w:sz w:val="24"/>
          <w:szCs w:val="24"/>
        </w:rPr>
        <w:t xml:space="preserve"> </w:t>
      </w:r>
      <w:r w:rsidRPr="005632E5">
        <w:rPr>
          <w:rFonts w:ascii="Times New Roman" w:eastAsiaTheme="minorEastAsia" w:hAnsi="Times New Roman" w:cs="Times New Roman"/>
          <w:sz w:val="24"/>
          <w:szCs w:val="24"/>
        </w:rPr>
        <w:t xml:space="preserve">1996; </w:t>
      </w:r>
      <w:r w:rsidRPr="00CD5568">
        <w:rPr>
          <w:rFonts w:ascii="Times New Roman" w:eastAsiaTheme="minorEastAsia" w:hAnsi="Times New Roman" w:cs="Times New Roman"/>
          <w:sz w:val="24"/>
          <w:szCs w:val="24"/>
        </w:rPr>
        <w:t xml:space="preserve">Summers </w:t>
      </w:r>
      <w:r w:rsidR="00597DA6">
        <w:rPr>
          <w:rFonts w:ascii="Times New Roman" w:eastAsiaTheme="minorEastAsia" w:hAnsi="Times New Roman" w:cs="Times New Roman"/>
          <w:sz w:val="24"/>
          <w:szCs w:val="24"/>
        </w:rPr>
        <w:t>and</w:t>
      </w:r>
      <w:r w:rsidRPr="00CD5568">
        <w:rPr>
          <w:rFonts w:ascii="Times New Roman" w:eastAsiaTheme="minorEastAsia" w:hAnsi="Times New Roman" w:cs="Times New Roman"/>
          <w:sz w:val="24"/>
          <w:szCs w:val="24"/>
        </w:rPr>
        <w:t xml:space="preserve"> Sweeney, 1998). The control variables we include are size (</w:t>
      </w:r>
      <w:r w:rsidRPr="00CD5568">
        <w:rPr>
          <w:rFonts w:ascii="Times New Roman" w:eastAsiaTheme="minorEastAsia" w:hAnsi="Times New Roman" w:cs="Times New Roman"/>
          <w:i/>
          <w:iCs/>
          <w:sz w:val="24"/>
          <w:szCs w:val="24"/>
        </w:rPr>
        <w:t>SIZE</w:t>
      </w:r>
      <w:r w:rsidRPr="00CD5568">
        <w:rPr>
          <w:rFonts w:ascii="Times New Roman" w:eastAsiaTheme="minorEastAsia" w:hAnsi="Times New Roman" w:cs="Times New Roman"/>
          <w:sz w:val="24"/>
          <w:szCs w:val="24"/>
        </w:rPr>
        <w:t>), leverage (</w:t>
      </w:r>
      <w:r w:rsidRPr="00CD5568">
        <w:rPr>
          <w:rFonts w:ascii="Times New Roman" w:eastAsiaTheme="minorEastAsia" w:hAnsi="Times New Roman" w:cs="Times New Roman"/>
          <w:i/>
          <w:iCs/>
          <w:sz w:val="24"/>
          <w:szCs w:val="24"/>
        </w:rPr>
        <w:t>LEV</w:t>
      </w:r>
      <w:r w:rsidRPr="00CD5568">
        <w:rPr>
          <w:rFonts w:ascii="Times New Roman" w:eastAsiaTheme="minorEastAsia" w:hAnsi="Times New Roman" w:cs="Times New Roman"/>
          <w:sz w:val="24"/>
          <w:szCs w:val="24"/>
        </w:rPr>
        <w:t>), age (</w:t>
      </w:r>
      <w:r w:rsidRPr="00CD5568">
        <w:rPr>
          <w:rFonts w:ascii="Times New Roman" w:eastAsiaTheme="minorEastAsia" w:hAnsi="Times New Roman" w:cs="Times New Roman"/>
          <w:i/>
          <w:iCs/>
          <w:sz w:val="24"/>
          <w:szCs w:val="24"/>
        </w:rPr>
        <w:t>AGE</w:t>
      </w:r>
      <w:r w:rsidRPr="00CD5568">
        <w:rPr>
          <w:rFonts w:ascii="Times New Roman" w:eastAsiaTheme="minorEastAsia" w:hAnsi="Times New Roman" w:cs="Times New Roman"/>
          <w:sz w:val="24"/>
          <w:szCs w:val="24"/>
        </w:rPr>
        <w:t>), capital expenditures (</w:t>
      </w:r>
      <w:r w:rsidRPr="00CD5568">
        <w:rPr>
          <w:rFonts w:ascii="Times New Roman" w:eastAsiaTheme="minorEastAsia" w:hAnsi="Times New Roman" w:cs="Times New Roman"/>
          <w:i/>
          <w:iCs/>
          <w:sz w:val="24"/>
          <w:szCs w:val="24"/>
        </w:rPr>
        <w:t>CAPEX</w:t>
      </w:r>
      <w:r w:rsidRPr="00CD5568">
        <w:rPr>
          <w:rFonts w:ascii="Times New Roman" w:eastAsiaTheme="minorEastAsia" w:hAnsi="Times New Roman" w:cs="Times New Roman"/>
          <w:sz w:val="24"/>
          <w:szCs w:val="24"/>
        </w:rPr>
        <w:t>), cash (</w:t>
      </w:r>
      <w:r w:rsidRPr="00CD5568">
        <w:rPr>
          <w:rFonts w:ascii="Times New Roman" w:eastAsiaTheme="minorEastAsia" w:hAnsi="Times New Roman" w:cs="Times New Roman"/>
          <w:i/>
          <w:iCs/>
          <w:sz w:val="24"/>
          <w:szCs w:val="24"/>
        </w:rPr>
        <w:t>CASH</w:t>
      </w:r>
      <w:r w:rsidRPr="00CD5568">
        <w:rPr>
          <w:rFonts w:ascii="Times New Roman" w:eastAsiaTheme="minorEastAsia" w:hAnsi="Times New Roman" w:cs="Times New Roman"/>
          <w:sz w:val="24"/>
          <w:szCs w:val="24"/>
        </w:rPr>
        <w:t>), market-to-book ratio (</w:t>
      </w:r>
      <w:r w:rsidRPr="00CD5568">
        <w:rPr>
          <w:rFonts w:ascii="Times New Roman" w:eastAsiaTheme="minorEastAsia" w:hAnsi="Times New Roman" w:cs="Times New Roman"/>
          <w:i/>
          <w:iCs/>
          <w:sz w:val="24"/>
          <w:szCs w:val="24"/>
        </w:rPr>
        <w:t>MTB</w:t>
      </w:r>
      <w:r w:rsidRPr="00CD5568">
        <w:rPr>
          <w:rFonts w:ascii="Times New Roman" w:eastAsiaTheme="minorEastAsia" w:hAnsi="Times New Roman" w:cs="Times New Roman"/>
          <w:sz w:val="24"/>
          <w:szCs w:val="24"/>
        </w:rPr>
        <w:t>), global financial crisis (</w:t>
      </w:r>
      <w:r w:rsidRPr="00CD5568">
        <w:rPr>
          <w:rFonts w:ascii="Times New Roman" w:eastAsiaTheme="minorEastAsia" w:hAnsi="Times New Roman" w:cs="Times New Roman"/>
          <w:i/>
          <w:iCs/>
          <w:sz w:val="24"/>
          <w:szCs w:val="24"/>
        </w:rPr>
        <w:t>GFC</w:t>
      </w:r>
      <w:r w:rsidRPr="00CD5568">
        <w:rPr>
          <w:rFonts w:ascii="Times New Roman" w:eastAsiaTheme="minorEastAsia" w:hAnsi="Times New Roman" w:cs="Times New Roman"/>
          <w:sz w:val="24"/>
          <w:szCs w:val="24"/>
        </w:rPr>
        <w:t>)</w:t>
      </w:r>
      <w:r w:rsidR="00B84BD8">
        <w:rPr>
          <w:rFonts w:ascii="Times New Roman" w:eastAsiaTheme="minorEastAsia" w:hAnsi="Times New Roman" w:cs="Times New Roman"/>
          <w:sz w:val="24"/>
          <w:szCs w:val="24"/>
        </w:rPr>
        <w:t xml:space="preserve"> and </w:t>
      </w:r>
      <w:r w:rsidR="00014FF4">
        <w:rPr>
          <w:rFonts w:ascii="Times New Roman" w:eastAsiaTheme="minorEastAsia" w:hAnsi="Times New Roman" w:cs="Times New Roman"/>
          <w:sz w:val="24"/>
          <w:szCs w:val="24"/>
        </w:rPr>
        <w:t>gross domestic product (</w:t>
      </w:r>
      <w:r w:rsidR="00B84BD8">
        <w:rPr>
          <w:rFonts w:ascii="Times New Roman" w:eastAsiaTheme="minorEastAsia" w:hAnsi="Times New Roman" w:cs="Times New Roman"/>
          <w:sz w:val="24"/>
          <w:szCs w:val="24"/>
        </w:rPr>
        <w:t>GDP</w:t>
      </w:r>
      <w:r w:rsidR="00014FF4">
        <w:rPr>
          <w:rFonts w:ascii="Times New Roman" w:eastAsiaTheme="minorEastAsia" w:hAnsi="Times New Roman" w:cs="Times New Roman"/>
          <w:sz w:val="24"/>
          <w:szCs w:val="24"/>
        </w:rPr>
        <w:t>)</w:t>
      </w:r>
      <w:r w:rsidRPr="00CD5568">
        <w:rPr>
          <w:rFonts w:ascii="Times New Roman" w:eastAsiaTheme="minorEastAsia" w:hAnsi="Times New Roman" w:cs="Times New Roman"/>
          <w:sz w:val="24"/>
          <w:szCs w:val="24"/>
        </w:rPr>
        <w:t>.</w:t>
      </w:r>
    </w:p>
    <w:p w14:paraId="5CFE6573" w14:textId="066307B6" w:rsidR="008B0EE7" w:rsidRDefault="008B0EE7" w:rsidP="008B0EE7">
      <w:pPr>
        <w:spacing w:after="0" w:line="480" w:lineRule="auto"/>
        <w:ind w:firstLine="284"/>
        <w:jc w:val="both"/>
        <w:rPr>
          <w:rFonts w:ascii="Times New Roman" w:eastAsiaTheme="minorEastAsia" w:hAnsi="Times New Roman" w:cs="Times New Roman"/>
          <w:sz w:val="24"/>
          <w:szCs w:val="24"/>
        </w:rPr>
      </w:pPr>
      <w:r w:rsidRPr="00CD5568">
        <w:rPr>
          <w:rFonts w:ascii="Times New Roman" w:eastAsiaTheme="minorEastAsia" w:hAnsi="Times New Roman" w:cs="Times New Roman"/>
          <w:i/>
          <w:sz w:val="24"/>
          <w:szCs w:val="24"/>
        </w:rPr>
        <w:t>SIZE</w:t>
      </w:r>
      <w:r w:rsidRPr="00CD5568">
        <w:rPr>
          <w:rFonts w:ascii="Times New Roman" w:eastAsiaTheme="minorEastAsia" w:hAnsi="Times New Roman" w:cs="Times New Roman"/>
          <w:sz w:val="24"/>
          <w:szCs w:val="24"/>
        </w:rPr>
        <w:t xml:space="preserve"> is measured as the natural logarithm of the book value of total assets. </w:t>
      </w:r>
      <w:r w:rsidRPr="00CD5568">
        <w:rPr>
          <w:rFonts w:ascii="Times New Roman" w:eastAsiaTheme="minorEastAsia" w:hAnsi="Times New Roman" w:cs="Times New Roman"/>
          <w:i/>
          <w:iCs/>
          <w:sz w:val="24"/>
          <w:szCs w:val="24"/>
        </w:rPr>
        <w:t>SIZE</w:t>
      </w:r>
      <w:r w:rsidRPr="00CD5568">
        <w:rPr>
          <w:rFonts w:ascii="Times New Roman" w:eastAsiaTheme="minorEastAsia" w:hAnsi="Times New Roman" w:cs="Times New Roman"/>
          <w:sz w:val="24"/>
          <w:szCs w:val="24"/>
        </w:rPr>
        <w:t xml:space="preserve"> can</w:t>
      </w:r>
      <w:r>
        <w:rPr>
          <w:rFonts w:ascii="Times New Roman" w:eastAsiaTheme="minorEastAsia" w:hAnsi="Times New Roman" w:cs="Times New Roman"/>
          <w:sz w:val="24"/>
          <w:szCs w:val="24"/>
        </w:rPr>
        <w:t xml:space="preserve"> be positively or negatively related to post-SEO performance. However, larger firms</w:t>
      </w:r>
      <w:r w:rsidRPr="00435F60">
        <w:rPr>
          <w:rFonts w:ascii="Times New Roman" w:eastAsiaTheme="minorEastAsia" w:hAnsi="Times New Roman" w:cs="Times New Roman"/>
          <w:sz w:val="24"/>
          <w:szCs w:val="24"/>
        </w:rPr>
        <w:t xml:space="preserve"> attract more analysts and </w:t>
      </w:r>
      <w:r>
        <w:rPr>
          <w:rFonts w:ascii="Times New Roman" w:eastAsiaTheme="minorEastAsia" w:hAnsi="Times New Roman" w:cs="Times New Roman"/>
          <w:sz w:val="24"/>
          <w:szCs w:val="24"/>
        </w:rPr>
        <w:t xml:space="preserve">have </w:t>
      </w:r>
      <w:r w:rsidRPr="00435F60">
        <w:rPr>
          <w:rFonts w:ascii="Times New Roman" w:eastAsiaTheme="minorEastAsia" w:hAnsi="Times New Roman" w:cs="Times New Roman"/>
          <w:sz w:val="24"/>
          <w:szCs w:val="24"/>
        </w:rPr>
        <w:t>highly qualified auditors</w:t>
      </w:r>
      <w:r>
        <w:rPr>
          <w:rFonts w:ascii="Times New Roman" w:eastAsiaTheme="minorEastAsia" w:hAnsi="Times New Roman" w:cs="Times New Roman"/>
          <w:sz w:val="24"/>
          <w:szCs w:val="24"/>
        </w:rPr>
        <w:t xml:space="preserve">, who facilitate </w:t>
      </w:r>
      <w:r w:rsidR="00F90C0C">
        <w:rPr>
          <w:rFonts w:ascii="Times New Roman" w:eastAsiaTheme="minorEastAsia" w:hAnsi="Times New Roman" w:cs="Times New Roman"/>
          <w:sz w:val="24"/>
          <w:szCs w:val="24"/>
        </w:rPr>
        <w:t xml:space="preserve">reporting </w:t>
      </w:r>
      <w:r>
        <w:rPr>
          <w:rFonts w:ascii="Times New Roman" w:eastAsiaTheme="minorEastAsia" w:hAnsi="Times New Roman" w:cs="Times New Roman"/>
          <w:sz w:val="24"/>
          <w:szCs w:val="24"/>
        </w:rPr>
        <w:t>of high</w:t>
      </w:r>
      <w:r w:rsidR="00AE6D9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quality information about the firms (McLaughlin et al., 1996) </w:t>
      </w:r>
      <w:r w:rsidR="00F90C0C">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ensure transparent financial reporting. In contrast, larger firms may have higher levels of asymmetric information and uncertainty, owing to the complexity of their operations, which causes greater declines in post-SEO performance as a consequence (</w:t>
      </w:r>
      <w:r>
        <w:rPr>
          <w:rFonts w:ascii="Times New Roman" w:hAnsi="Times New Roman" w:cs="Times New Roman"/>
          <w:sz w:val="24"/>
          <w:szCs w:val="24"/>
        </w:rPr>
        <w:t xml:space="preserve">Lobo </w:t>
      </w:r>
      <w:r w:rsidR="00597DA6">
        <w:rPr>
          <w:rFonts w:ascii="Times New Roman" w:hAnsi="Times New Roman" w:cs="Times New Roman"/>
          <w:sz w:val="24"/>
          <w:szCs w:val="24"/>
        </w:rPr>
        <w:t>and</w:t>
      </w:r>
      <w:r>
        <w:rPr>
          <w:rFonts w:ascii="Times New Roman" w:hAnsi="Times New Roman" w:cs="Times New Roman"/>
          <w:sz w:val="24"/>
          <w:szCs w:val="24"/>
        </w:rPr>
        <w:t xml:space="preserve"> Zhou, 2006)</w:t>
      </w:r>
      <w:r>
        <w:rPr>
          <w:rFonts w:ascii="Times New Roman" w:eastAsiaTheme="minorEastAsia" w:hAnsi="Times New Roman" w:cs="Times New Roman"/>
          <w:sz w:val="24"/>
          <w:szCs w:val="24"/>
        </w:rPr>
        <w:t xml:space="preserve">. </w:t>
      </w:r>
      <w:r w:rsidRPr="00435F60">
        <w:rPr>
          <w:rFonts w:ascii="Times New Roman" w:eastAsiaTheme="minorEastAsia" w:hAnsi="Times New Roman" w:cs="Times New Roman"/>
          <w:i/>
          <w:sz w:val="24"/>
          <w:szCs w:val="24"/>
        </w:rPr>
        <w:t xml:space="preserve">LEV </w:t>
      </w:r>
      <w:r w:rsidRPr="00435F60">
        <w:rPr>
          <w:rFonts w:ascii="Times New Roman" w:eastAsiaTheme="minorEastAsia" w:hAnsi="Times New Roman" w:cs="Times New Roman"/>
          <w:sz w:val="24"/>
          <w:szCs w:val="24"/>
        </w:rPr>
        <w:t xml:space="preserve">is measured as </w:t>
      </w:r>
      <w:r>
        <w:rPr>
          <w:rFonts w:ascii="Times New Roman" w:eastAsiaTheme="minorEastAsia" w:hAnsi="Times New Roman" w:cs="Times New Roman"/>
          <w:sz w:val="24"/>
          <w:szCs w:val="24"/>
        </w:rPr>
        <w:t xml:space="preserve">the </w:t>
      </w:r>
      <w:r w:rsidRPr="00435F60">
        <w:rPr>
          <w:rFonts w:ascii="Times New Roman" w:eastAsiaTheme="minorEastAsia" w:hAnsi="Times New Roman" w:cs="Times New Roman"/>
          <w:sz w:val="24"/>
          <w:szCs w:val="24"/>
        </w:rPr>
        <w:t xml:space="preserve">total book value of long-term debt plus </w:t>
      </w:r>
      <w:r w:rsidR="00AA01B3">
        <w:rPr>
          <w:rFonts w:ascii="Times New Roman" w:eastAsiaTheme="minorEastAsia" w:hAnsi="Times New Roman" w:cs="Times New Roman"/>
          <w:sz w:val="24"/>
          <w:szCs w:val="24"/>
        </w:rPr>
        <w:t>short</w:t>
      </w:r>
      <w:r w:rsidR="00062C7E">
        <w:rPr>
          <w:rFonts w:ascii="Times New Roman" w:eastAsiaTheme="minorEastAsia" w:hAnsi="Times New Roman" w:cs="Times New Roman"/>
          <w:sz w:val="24"/>
          <w:szCs w:val="24"/>
        </w:rPr>
        <w:t>-</w:t>
      </w:r>
      <w:r w:rsidR="00AA01B3">
        <w:rPr>
          <w:rFonts w:ascii="Times New Roman" w:eastAsiaTheme="minorEastAsia" w:hAnsi="Times New Roman" w:cs="Times New Roman"/>
          <w:sz w:val="24"/>
          <w:szCs w:val="24"/>
        </w:rPr>
        <w:t>term</w:t>
      </w:r>
      <w:r w:rsidR="006D7A44">
        <w:rPr>
          <w:rFonts w:ascii="Times New Roman" w:eastAsiaTheme="minorEastAsia" w:hAnsi="Times New Roman" w:cs="Times New Roman"/>
          <w:sz w:val="24"/>
          <w:szCs w:val="24"/>
        </w:rPr>
        <w:t xml:space="preserve"> </w:t>
      </w:r>
      <w:r w:rsidRPr="00435F60">
        <w:rPr>
          <w:rFonts w:ascii="Times New Roman" w:eastAsiaTheme="minorEastAsia" w:hAnsi="Times New Roman" w:cs="Times New Roman"/>
          <w:sz w:val="24"/>
          <w:szCs w:val="24"/>
        </w:rPr>
        <w:t xml:space="preserve">debt </w:t>
      </w:r>
      <w:r w:rsidR="006D7A44">
        <w:rPr>
          <w:rFonts w:ascii="Times New Roman" w:eastAsiaTheme="minorEastAsia" w:hAnsi="Times New Roman" w:cs="Times New Roman"/>
          <w:sz w:val="24"/>
          <w:szCs w:val="24"/>
        </w:rPr>
        <w:t xml:space="preserve">included </w:t>
      </w:r>
      <w:r w:rsidRPr="00435F60">
        <w:rPr>
          <w:rFonts w:ascii="Times New Roman" w:eastAsiaTheme="minorEastAsia" w:hAnsi="Times New Roman" w:cs="Times New Roman"/>
          <w:sz w:val="24"/>
          <w:szCs w:val="24"/>
        </w:rPr>
        <w:t>in current liabilities</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scaled by</w:t>
      </w:r>
      <w:r w:rsidRPr="00435F60">
        <w:rPr>
          <w:rFonts w:ascii="Times New Roman" w:eastAsiaTheme="minorEastAsia" w:hAnsi="Times New Roman" w:cs="Times New Roman"/>
          <w:sz w:val="24"/>
          <w:szCs w:val="24"/>
        </w:rPr>
        <w:t xml:space="preserve"> total assets. </w:t>
      </w:r>
      <w:r>
        <w:rPr>
          <w:rFonts w:ascii="Times New Roman" w:eastAsiaTheme="minorEastAsia" w:hAnsi="Times New Roman" w:cs="Times New Roman"/>
          <w:sz w:val="24"/>
          <w:szCs w:val="24"/>
        </w:rPr>
        <w:t xml:space="preserve">We expect leverage to be related to post-SEO performance negatively. Firms with high leverage are associated with high moral hazard issues (Lee </w:t>
      </w:r>
      <w:r w:rsidR="00597DA6">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Masulis, 2009) and, hence, may experience higher declines in post-SEO performance. </w:t>
      </w:r>
      <w:r w:rsidRPr="00435F60">
        <w:rPr>
          <w:rFonts w:ascii="Times New Roman" w:eastAsiaTheme="minorEastAsia" w:hAnsi="Times New Roman" w:cs="Times New Roman"/>
          <w:i/>
          <w:sz w:val="24"/>
          <w:szCs w:val="24"/>
        </w:rPr>
        <w:t>AGE</w:t>
      </w:r>
      <w:r w:rsidRPr="00435F60">
        <w:rPr>
          <w:rFonts w:ascii="Times New Roman" w:eastAsiaTheme="minorEastAsia" w:hAnsi="Times New Roman" w:cs="Times New Roman"/>
          <w:sz w:val="24"/>
          <w:szCs w:val="24"/>
        </w:rPr>
        <w:t xml:space="preserve"> </w:t>
      </w:r>
      <w:r w:rsidR="00292C6A">
        <w:rPr>
          <w:rFonts w:ascii="Times New Roman" w:eastAsiaTheme="minorEastAsia" w:hAnsi="Times New Roman" w:cs="Times New Roman"/>
          <w:sz w:val="24"/>
          <w:szCs w:val="24"/>
        </w:rPr>
        <w:t>is</w:t>
      </w:r>
      <w:r w:rsidRPr="00435F60">
        <w:rPr>
          <w:rFonts w:ascii="Times New Roman" w:eastAsiaTheme="minorEastAsia" w:hAnsi="Times New Roman" w:cs="Times New Roman"/>
          <w:sz w:val="24"/>
          <w:szCs w:val="24"/>
        </w:rPr>
        <w:t xml:space="preserve"> the natural log</w:t>
      </w:r>
      <w:r>
        <w:rPr>
          <w:rFonts w:ascii="Times New Roman" w:eastAsiaTheme="minorEastAsia" w:hAnsi="Times New Roman" w:cs="Times New Roman"/>
          <w:sz w:val="24"/>
          <w:szCs w:val="24"/>
        </w:rPr>
        <w:t>arithm</w:t>
      </w:r>
      <w:r w:rsidRPr="00435F60">
        <w:rPr>
          <w:rFonts w:ascii="Times New Roman" w:eastAsiaTheme="minorEastAsia" w:hAnsi="Times New Roman" w:cs="Times New Roman"/>
          <w:sz w:val="24"/>
          <w:szCs w:val="24"/>
        </w:rPr>
        <w:t xml:space="preserve"> of </w:t>
      </w:r>
      <w:r>
        <w:rPr>
          <w:rFonts w:ascii="Times New Roman" w:eastAsiaTheme="minorEastAsia" w:hAnsi="Times New Roman" w:cs="Times New Roman"/>
          <w:sz w:val="24"/>
          <w:szCs w:val="24"/>
        </w:rPr>
        <w:t xml:space="preserve">a </w:t>
      </w:r>
      <w:r w:rsidRPr="00435F60">
        <w:rPr>
          <w:rFonts w:ascii="Times New Roman" w:eastAsiaTheme="minorEastAsia" w:hAnsi="Times New Roman" w:cs="Times New Roman"/>
          <w:sz w:val="24"/>
          <w:szCs w:val="24"/>
        </w:rPr>
        <w:t>firm</w:t>
      </w:r>
      <w:r>
        <w:rPr>
          <w:rFonts w:ascii="Times New Roman" w:eastAsiaTheme="minorEastAsia" w:hAnsi="Times New Roman" w:cs="Times New Roman"/>
          <w:sz w:val="24"/>
          <w:szCs w:val="24"/>
        </w:rPr>
        <w:t>’s</w:t>
      </w:r>
      <w:r w:rsidRPr="00435F60">
        <w:rPr>
          <w:rFonts w:ascii="Times New Roman" w:eastAsiaTheme="minorEastAsia" w:hAnsi="Times New Roman" w:cs="Times New Roman"/>
          <w:sz w:val="24"/>
          <w:szCs w:val="24"/>
        </w:rPr>
        <w:t xml:space="preserve"> age from </w:t>
      </w:r>
      <w:r>
        <w:rPr>
          <w:rFonts w:ascii="Times New Roman" w:eastAsiaTheme="minorEastAsia" w:hAnsi="Times New Roman" w:cs="Times New Roman"/>
          <w:sz w:val="24"/>
          <w:szCs w:val="24"/>
        </w:rPr>
        <w:t xml:space="preserve">its </w:t>
      </w:r>
      <w:r w:rsidRPr="00435F60">
        <w:rPr>
          <w:rFonts w:ascii="Times New Roman" w:eastAsiaTheme="minorEastAsia" w:hAnsi="Times New Roman" w:cs="Times New Roman"/>
          <w:sz w:val="24"/>
          <w:szCs w:val="24"/>
        </w:rPr>
        <w:t>listing</w:t>
      </w:r>
      <w:r w:rsidRPr="008D2019">
        <w:rPr>
          <w:rFonts w:ascii="Times New Roman" w:eastAsiaTheme="minorEastAsia" w:hAnsi="Times New Roman" w:cs="Times New Roman"/>
          <w:sz w:val="24"/>
          <w:szCs w:val="24"/>
        </w:rPr>
        <w:t xml:space="preserve"> </w:t>
      </w:r>
      <w:r w:rsidRPr="00435F60">
        <w:rPr>
          <w:rFonts w:ascii="Times New Roman" w:eastAsiaTheme="minorEastAsia" w:hAnsi="Times New Roman" w:cs="Times New Roman"/>
          <w:sz w:val="24"/>
          <w:szCs w:val="24"/>
        </w:rPr>
        <w:t>date.</w:t>
      </w:r>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AGE</w:t>
      </w:r>
      <w:r>
        <w:rPr>
          <w:rFonts w:ascii="Times New Roman" w:eastAsiaTheme="minorEastAsia" w:hAnsi="Times New Roman" w:cs="Times New Roman"/>
          <w:sz w:val="24"/>
          <w:szCs w:val="24"/>
        </w:rPr>
        <w:t xml:space="preserve"> can be positively or negatively related to post-SEO performance. Older firms have a long history and may have established a better reputation in the capital market. In contrast, older firms may have been at the decline stage of the business cycle and, hence, would be expected to have higher declines in </w:t>
      </w:r>
      <w:r w:rsidR="00675B49">
        <w:rPr>
          <w:rFonts w:ascii="Times New Roman" w:eastAsiaTheme="minorEastAsia" w:hAnsi="Times New Roman" w:cs="Times New Roman"/>
          <w:sz w:val="24"/>
          <w:szCs w:val="24"/>
        </w:rPr>
        <w:t xml:space="preserve">post-SEO </w:t>
      </w:r>
      <w:r>
        <w:rPr>
          <w:rFonts w:ascii="Times New Roman" w:eastAsiaTheme="minorEastAsia" w:hAnsi="Times New Roman" w:cs="Times New Roman"/>
          <w:sz w:val="24"/>
          <w:szCs w:val="24"/>
        </w:rPr>
        <w:t xml:space="preserve">performance. </w:t>
      </w:r>
      <w:r w:rsidRPr="00435F60">
        <w:rPr>
          <w:rFonts w:ascii="Times New Roman" w:eastAsiaTheme="minorEastAsia" w:hAnsi="Times New Roman" w:cs="Times New Roman"/>
          <w:i/>
          <w:sz w:val="24"/>
          <w:szCs w:val="24"/>
        </w:rPr>
        <w:t>CAPEX</w:t>
      </w:r>
      <w:r w:rsidRPr="00435F60">
        <w:rPr>
          <w:rFonts w:ascii="Times New Roman" w:eastAsiaTheme="minorEastAsia" w:hAnsi="Times New Roman" w:cs="Times New Roman"/>
          <w:sz w:val="24"/>
          <w:szCs w:val="24"/>
        </w:rPr>
        <w:t xml:space="preserve"> is the natural log</w:t>
      </w:r>
      <w:r>
        <w:rPr>
          <w:rFonts w:ascii="Times New Roman" w:eastAsiaTheme="minorEastAsia" w:hAnsi="Times New Roman" w:cs="Times New Roman"/>
          <w:sz w:val="24"/>
          <w:szCs w:val="24"/>
        </w:rPr>
        <w:t>arithm</w:t>
      </w:r>
      <w:r w:rsidRPr="00435F60">
        <w:rPr>
          <w:rFonts w:ascii="Times New Roman" w:eastAsiaTheme="minorEastAsia" w:hAnsi="Times New Roman" w:cs="Times New Roman"/>
          <w:sz w:val="24"/>
          <w:szCs w:val="24"/>
        </w:rPr>
        <w:t xml:space="preserve"> of capital expenditure</w:t>
      </w:r>
      <w:r>
        <w:rPr>
          <w:rFonts w:ascii="Times New Roman" w:eastAsiaTheme="minorEastAsia" w:hAnsi="Times New Roman" w:cs="Times New Roman"/>
          <w:sz w:val="24"/>
          <w:szCs w:val="24"/>
        </w:rPr>
        <w:t>s</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CAPEX</w:t>
      </w:r>
      <w:r>
        <w:rPr>
          <w:rFonts w:ascii="Times New Roman" w:eastAsiaTheme="minorEastAsia" w:hAnsi="Times New Roman" w:cs="Times New Roman"/>
          <w:sz w:val="24"/>
          <w:szCs w:val="24"/>
        </w:rPr>
        <w:t xml:space="preserve"> can be positively or negatively related to post-SEO performance. Loughran and Ritter (1997) find that SEO-issuing firms with capital expenditure growth often experience post-SEO earnings declines. On the contrary, </w:t>
      </w:r>
      <w:r w:rsidRPr="0039135E">
        <w:rPr>
          <w:rFonts w:ascii="Times New Roman" w:eastAsiaTheme="minorEastAsia" w:hAnsi="Times New Roman" w:cs="Times New Roman"/>
          <w:i/>
          <w:iCs/>
          <w:sz w:val="24"/>
          <w:szCs w:val="24"/>
        </w:rPr>
        <w:t>CAPEX</w:t>
      </w:r>
      <w:r>
        <w:rPr>
          <w:rFonts w:ascii="Times New Roman" w:eastAsiaTheme="minorEastAsia" w:hAnsi="Times New Roman" w:cs="Times New Roman"/>
          <w:sz w:val="24"/>
          <w:szCs w:val="24"/>
        </w:rPr>
        <w:t xml:space="preserve"> </w:t>
      </w:r>
      <w:r w:rsidR="00D16861">
        <w:rPr>
          <w:rFonts w:ascii="Times New Roman" w:eastAsiaTheme="minorEastAsia" w:hAnsi="Times New Roman" w:cs="Times New Roman"/>
          <w:sz w:val="24"/>
          <w:szCs w:val="24"/>
        </w:rPr>
        <w:t>viewed</w:t>
      </w:r>
      <w:r>
        <w:rPr>
          <w:rFonts w:ascii="Times New Roman" w:eastAsiaTheme="minorEastAsia" w:hAnsi="Times New Roman" w:cs="Times New Roman"/>
          <w:sz w:val="24"/>
          <w:szCs w:val="24"/>
        </w:rPr>
        <w:t xml:space="preserve"> as a proxy for investment, </w:t>
      </w:r>
      <w:r w:rsidR="00D16861">
        <w:rPr>
          <w:rFonts w:ascii="Times New Roman" w:eastAsiaTheme="minorEastAsia" w:hAnsi="Times New Roman" w:cs="Times New Roman"/>
          <w:sz w:val="24"/>
          <w:szCs w:val="24"/>
        </w:rPr>
        <w:t>would</w:t>
      </w:r>
      <w:r>
        <w:rPr>
          <w:rFonts w:ascii="Times New Roman" w:eastAsiaTheme="minorEastAsia" w:hAnsi="Times New Roman" w:cs="Times New Roman"/>
          <w:sz w:val="24"/>
          <w:szCs w:val="24"/>
        </w:rPr>
        <w:t xml:space="preserve"> correlate </w:t>
      </w:r>
      <w:r w:rsidR="00D16861">
        <w:rPr>
          <w:rFonts w:ascii="Times New Roman" w:eastAsiaTheme="minorEastAsia" w:hAnsi="Times New Roman" w:cs="Times New Roman"/>
          <w:sz w:val="24"/>
          <w:szCs w:val="24"/>
        </w:rPr>
        <w:t xml:space="preserve">positively </w:t>
      </w:r>
      <w:r>
        <w:rPr>
          <w:rFonts w:ascii="Times New Roman" w:eastAsiaTheme="minorEastAsia" w:hAnsi="Times New Roman" w:cs="Times New Roman"/>
          <w:sz w:val="24"/>
          <w:szCs w:val="24"/>
        </w:rPr>
        <w:t xml:space="preserve">with post-SEO performance (McLaughlin et </w:t>
      </w:r>
      <w:r>
        <w:rPr>
          <w:rFonts w:ascii="Times New Roman" w:eastAsiaTheme="minorEastAsia" w:hAnsi="Times New Roman" w:cs="Times New Roman"/>
          <w:sz w:val="24"/>
          <w:szCs w:val="24"/>
        </w:rPr>
        <w:lastRenderedPageBreak/>
        <w:t xml:space="preserve">al., 1996). </w:t>
      </w:r>
      <w:r w:rsidRPr="00435F60">
        <w:rPr>
          <w:rFonts w:ascii="Times New Roman" w:eastAsiaTheme="minorEastAsia" w:hAnsi="Times New Roman" w:cs="Times New Roman"/>
          <w:i/>
          <w:sz w:val="24"/>
          <w:szCs w:val="24"/>
        </w:rPr>
        <w:t>CASH</w:t>
      </w:r>
      <w:r w:rsidRPr="00435F60">
        <w:rPr>
          <w:rFonts w:ascii="Times New Roman" w:eastAsiaTheme="minorEastAsia" w:hAnsi="Times New Roman" w:cs="Times New Roman"/>
          <w:sz w:val="24"/>
          <w:szCs w:val="24"/>
        </w:rPr>
        <w:t xml:space="preserve"> </w:t>
      </w:r>
      <w:r w:rsidR="009B591E">
        <w:rPr>
          <w:rFonts w:ascii="Times New Roman" w:eastAsiaTheme="minorEastAsia" w:hAnsi="Times New Roman" w:cs="Times New Roman"/>
          <w:sz w:val="24"/>
          <w:szCs w:val="24"/>
        </w:rPr>
        <w:t xml:space="preserve">comprises </w:t>
      </w:r>
      <w:r w:rsidRPr="00435F60">
        <w:rPr>
          <w:rFonts w:ascii="Times New Roman" w:eastAsiaTheme="minorEastAsia" w:hAnsi="Times New Roman" w:cs="Times New Roman"/>
          <w:sz w:val="24"/>
          <w:szCs w:val="24"/>
        </w:rPr>
        <w:t>cash and short-term investment</w:t>
      </w:r>
      <w:r>
        <w:rPr>
          <w:rFonts w:ascii="Times New Roman" w:eastAsiaTheme="minorEastAsia" w:hAnsi="Times New Roman" w:cs="Times New Roman"/>
          <w:sz w:val="24"/>
          <w:szCs w:val="24"/>
        </w:rPr>
        <w:t>s</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scaled by</w:t>
      </w:r>
      <w:r w:rsidRPr="00435F60">
        <w:rPr>
          <w:rFonts w:ascii="Times New Roman" w:eastAsiaTheme="minorEastAsia" w:hAnsi="Times New Roman" w:cs="Times New Roman"/>
          <w:sz w:val="24"/>
          <w:szCs w:val="24"/>
        </w:rPr>
        <w:t xml:space="preserve"> total assets.</w:t>
      </w:r>
      <w:r>
        <w:rPr>
          <w:rFonts w:ascii="Times New Roman" w:eastAsiaTheme="minorEastAsia" w:hAnsi="Times New Roman" w:cs="Times New Roman"/>
          <w:sz w:val="24"/>
          <w:szCs w:val="24"/>
        </w:rPr>
        <w:t xml:space="preserve"> Firms holding more cash can take better advantage of high valuations prior to SEOs and may </w:t>
      </w:r>
      <w:r w:rsidRPr="00A64F16">
        <w:rPr>
          <w:rFonts w:ascii="Times New Roman" w:eastAsiaTheme="minorEastAsia" w:hAnsi="Times New Roman" w:cs="Times New Roman"/>
          <w:sz w:val="24"/>
          <w:szCs w:val="24"/>
        </w:rPr>
        <w:t xml:space="preserve">have agency problems (Intintoli et al., 2014). </w:t>
      </w:r>
      <w:r>
        <w:rPr>
          <w:rFonts w:ascii="Times New Roman" w:eastAsiaTheme="minorEastAsia" w:hAnsi="Times New Roman" w:cs="Times New Roman"/>
          <w:sz w:val="24"/>
          <w:szCs w:val="24"/>
        </w:rPr>
        <w:t xml:space="preserve">On the other hand, firms facing financial constraints may be under capital market pressure (Kurt, 2018), and may experience declines in performance owing to their poor future earnings and cash flow expectations. </w:t>
      </w:r>
      <w:r w:rsidRPr="004D2814">
        <w:rPr>
          <w:rFonts w:ascii="Times New Roman" w:eastAsiaTheme="minorEastAsia" w:hAnsi="Times New Roman" w:cs="Times New Roman"/>
          <w:i/>
          <w:iCs/>
          <w:sz w:val="24"/>
          <w:szCs w:val="24"/>
        </w:rPr>
        <w:t>MTB</w:t>
      </w:r>
      <w:r w:rsidRPr="00A64F16">
        <w:rPr>
          <w:rFonts w:ascii="Times New Roman" w:eastAsiaTheme="minorEastAsia" w:hAnsi="Times New Roman" w:cs="Times New Roman"/>
          <w:sz w:val="24"/>
          <w:szCs w:val="24"/>
        </w:rPr>
        <w:t xml:space="preserve"> is measured as </w:t>
      </w:r>
      <w:r>
        <w:rPr>
          <w:rFonts w:ascii="Times New Roman" w:eastAsiaTheme="minorEastAsia" w:hAnsi="Times New Roman" w:cs="Times New Roman"/>
          <w:sz w:val="24"/>
          <w:szCs w:val="24"/>
        </w:rPr>
        <w:t>the market value of equity scaled by</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book value of equity</w:t>
      </w:r>
      <w:r w:rsidRPr="00435F6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It captures growth firms, which are more likely to be overvalued and tend to experience larger declines in post-SEO performance (Cohen </w:t>
      </w:r>
      <w:r w:rsidR="00597DA6">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Zarowin, 2010; Summers </w:t>
      </w:r>
      <w:r w:rsidR="00597DA6">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Sweeney, 1998).</w:t>
      </w:r>
      <w:r w:rsidRPr="00435F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Hence, we expect </w:t>
      </w:r>
      <w:r w:rsidRPr="004D2814">
        <w:rPr>
          <w:rFonts w:ascii="Times New Roman" w:eastAsiaTheme="minorEastAsia" w:hAnsi="Times New Roman" w:cs="Times New Roman"/>
          <w:i/>
          <w:iCs/>
          <w:sz w:val="24"/>
          <w:szCs w:val="24"/>
        </w:rPr>
        <w:t>MTB</w:t>
      </w:r>
      <w:r w:rsidRPr="00A64F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to be negatively related to post-SEO performance. </w:t>
      </w:r>
      <w:r w:rsidRPr="00435F60">
        <w:rPr>
          <w:rFonts w:ascii="Times New Roman" w:eastAsiaTheme="minorEastAsia" w:hAnsi="Times New Roman" w:cs="Times New Roman"/>
          <w:i/>
          <w:sz w:val="24"/>
          <w:szCs w:val="24"/>
        </w:rPr>
        <w:t xml:space="preserve">GFC </w:t>
      </w:r>
      <w:r w:rsidRPr="00435F60">
        <w:rPr>
          <w:rFonts w:ascii="Times New Roman" w:eastAsiaTheme="minorEastAsia" w:hAnsi="Times New Roman" w:cs="Times New Roman"/>
          <w:sz w:val="24"/>
          <w:szCs w:val="24"/>
        </w:rPr>
        <w:t xml:space="preserve">is a dummy variable </w:t>
      </w:r>
      <w:r>
        <w:rPr>
          <w:rFonts w:ascii="Times New Roman" w:eastAsiaTheme="minorEastAsia" w:hAnsi="Times New Roman" w:cs="Times New Roman"/>
          <w:sz w:val="24"/>
          <w:szCs w:val="24"/>
        </w:rPr>
        <w:t>coded 1</w:t>
      </w:r>
      <w:r w:rsidRPr="00435F60">
        <w:rPr>
          <w:rFonts w:ascii="Times New Roman" w:eastAsiaTheme="minorEastAsia" w:hAnsi="Times New Roman" w:cs="Times New Roman"/>
          <w:sz w:val="24"/>
          <w:szCs w:val="24"/>
        </w:rPr>
        <w:t xml:space="preserve"> if an SEO occurs in the global financial crisis year</w:t>
      </w:r>
      <w:r w:rsidR="00455CAC">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2008</w:t>
      </w:r>
      <w:r w:rsidR="00455CAC">
        <w:rPr>
          <w:rFonts w:ascii="Times New Roman" w:eastAsiaTheme="minorEastAsia" w:hAnsi="Times New Roman" w:cs="Times New Roman"/>
          <w:sz w:val="24"/>
          <w:szCs w:val="24"/>
        </w:rPr>
        <w:t xml:space="preserve"> and 2009</w:t>
      </w:r>
      <w:r w:rsidRPr="00435F60">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0</w:t>
      </w:r>
      <w:r w:rsidRPr="00435F60">
        <w:rPr>
          <w:rFonts w:ascii="Times New Roman" w:eastAsiaTheme="minorEastAsia" w:hAnsi="Times New Roman" w:cs="Times New Roman"/>
          <w:sz w:val="24"/>
          <w:szCs w:val="24"/>
        </w:rPr>
        <w:t xml:space="preserve"> otherwise.</w:t>
      </w:r>
      <w:r w:rsidR="00395B6C">
        <w:rPr>
          <w:rFonts w:ascii="Times New Roman" w:eastAsiaTheme="minorEastAsia" w:hAnsi="Times New Roman" w:cs="Times New Roman"/>
          <w:sz w:val="24"/>
          <w:szCs w:val="24"/>
        </w:rPr>
        <w:t xml:space="preserve"> </w:t>
      </w:r>
      <w:r w:rsidR="00092A6F" w:rsidRPr="00092A6F">
        <w:rPr>
          <w:rFonts w:ascii="Times New Roman" w:eastAsiaTheme="minorEastAsia" w:hAnsi="Times New Roman" w:cs="Times New Roman"/>
          <w:sz w:val="24"/>
          <w:szCs w:val="24"/>
        </w:rPr>
        <w:t xml:space="preserve">Neuhauser </w:t>
      </w:r>
      <w:r w:rsidR="00092A6F">
        <w:rPr>
          <w:rFonts w:ascii="Times New Roman" w:eastAsiaTheme="minorEastAsia" w:hAnsi="Times New Roman" w:cs="Times New Roman"/>
          <w:sz w:val="24"/>
          <w:szCs w:val="24"/>
        </w:rPr>
        <w:t>(2015)</w:t>
      </w:r>
      <w:r w:rsidR="004F7590">
        <w:rPr>
          <w:rFonts w:ascii="Times New Roman" w:eastAsiaTheme="minorEastAsia" w:hAnsi="Times New Roman" w:cs="Times New Roman"/>
          <w:sz w:val="24"/>
          <w:szCs w:val="24"/>
        </w:rPr>
        <w:t xml:space="preserve"> documents that the </w:t>
      </w:r>
      <w:r w:rsidR="0042531B">
        <w:rPr>
          <w:rFonts w:ascii="Times New Roman" w:eastAsiaTheme="minorEastAsia" w:hAnsi="Times New Roman" w:cs="Times New Roman"/>
          <w:sz w:val="24"/>
          <w:szCs w:val="24"/>
        </w:rPr>
        <w:t xml:space="preserve">deepening of </w:t>
      </w:r>
      <w:r w:rsidR="00062C7E">
        <w:rPr>
          <w:rFonts w:ascii="Times New Roman" w:eastAsiaTheme="minorEastAsia" w:hAnsi="Times New Roman" w:cs="Times New Roman"/>
          <w:sz w:val="24"/>
          <w:szCs w:val="24"/>
        </w:rPr>
        <w:t xml:space="preserve">the </w:t>
      </w:r>
      <w:r w:rsidR="004F7590">
        <w:rPr>
          <w:rFonts w:ascii="Times New Roman" w:eastAsiaTheme="minorEastAsia" w:hAnsi="Times New Roman" w:cs="Times New Roman"/>
          <w:sz w:val="24"/>
          <w:szCs w:val="24"/>
        </w:rPr>
        <w:t>GFC</w:t>
      </w:r>
      <w:r w:rsidR="0042531B">
        <w:rPr>
          <w:rFonts w:ascii="Times New Roman" w:eastAsiaTheme="minorEastAsia" w:hAnsi="Times New Roman" w:cs="Times New Roman"/>
          <w:sz w:val="24"/>
          <w:szCs w:val="24"/>
        </w:rPr>
        <w:t xml:space="preserve"> occurred in 2008 while it lasted until </w:t>
      </w:r>
      <w:r w:rsidR="00792FDF">
        <w:rPr>
          <w:rFonts w:ascii="Times New Roman" w:eastAsiaTheme="minorEastAsia" w:hAnsi="Times New Roman" w:cs="Times New Roman"/>
          <w:sz w:val="24"/>
          <w:szCs w:val="24"/>
        </w:rPr>
        <w:t>2009.</w:t>
      </w:r>
      <w:r w:rsidR="004F75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We expect </w:t>
      </w:r>
      <w:r w:rsidRPr="0039135E">
        <w:rPr>
          <w:rFonts w:ascii="Times New Roman" w:eastAsiaTheme="minorEastAsia" w:hAnsi="Times New Roman" w:cs="Times New Roman"/>
          <w:i/>
          <w:iCs/>
          <w:sz w:val="24"/>
          <w:szCs w:val="24"/>
        </w:rPr>
        <w:t>GFC</w:t>
      </w:r>
      <w:r>
        <w:rPr>
          <w:rFonts w:ascii="Times New Roman" w:eastAsiaTheme="minorEastAsia" w:hAnsi="Times New Roman" w:cs="Times New Roman"/>
          <w:sz w:val="24"/>
          <w:szCs w:val="24"/>
        </w:rPr>
        <w:t xml:space="preserve"> to be negatively related to post-SEO performance, as firms generally experienced declines in performance during this period.</w:t>
      </w:r>
    </w:p>
    <w:p w14:paraId="2686D228" w14:textId="0BB465F7" w:rsidR="008B0EE7" w:rsidRPr="00435F60" w:rsidRDefault="008B0EE7" w:rsidP="008B0EE7">
      <w:pPr>
        <w:spacing w:after="0" w:line="480" w:lineRule="auto"/>
        <w:ind w:firstLine="284"/>
        <w:jc w:val="both"/>
        <w:rPr>
          <w:rFonts w:ascii="Times New Roman" w:eastAsiaTheme="minorEastAsia" w:hAnsi="Times New Roman" w:cs="Times New Roman"/>
          <w:sz w:val="24"/>
          <w:szCs w:val="24"/>
        </w:rPr>
      </w:pPr>
      <w:r w:rsidRPr="00F42120">
        <w:rPr>
          <w:rFonts w:ascii="Times New Roman" w:eastAsiaTheme="minorEastAsia" w:hAnsi="Times New Roman" w:cs="Times New Roman"/>
          <w:i/>
          <w:iCs/>
          <w:sz w:val="24"/>
          <w:szCs w:val="24"/>
        </w:rPr>
        <w:t>GDP</w:t>
      </w:r>
      <w:r>
        <w:rPr>
          <w:rFonts w:ascii="Times New Roman" w:eastAsiaTheme="minorEastAsia" w:hAnsi="Times New Roman" w:cs="Times New Roman"/>
          <w:sz w:val="24"/>
          <w:szCs w:val="24"/>
        </w:rPr>
        <w:t xml:space="preserve"> measures the GDP growth of a country. It is measured as a country’s current year’s GDP minus the previous year’s GDP scaled by the previous year’s GDP. </w:t>
      </w:r>
      <w:r w:rsidR="00654E14">
        <w:rPr>
          <w:rFonts w:ascii="Times New Roman" w:eastAsiaTheme="minorEastAsia" w:hAnsi="Times New Roman" w:cs="Times New Roman"/>
          <w:sz w:val="24"/>
          <w:szCs w:val="24"/>
        </w:rPr>
        <w:t>Generally, firms experience an increase</w:t>
      </w:r>
      <w:r w:rsidR="009B591E">
        <w:rPr>
          <w:rFonts w:ascii="Times New Roman" w:eastAsiaTheme="minorEastAsia" w:hAnsi="Times New Roman" w:cs="Times New Roman"/>
          <w:sz w:val="24"/>
          <w:szCs w:val="24"/>
        </w:rPr>
        <w:t xml:space="preserve"> in</w:t>
      </w:r>
      <w:r w:rsidR="00654E14">
        <w:rPr>
          <w:rFonts w:ascii="Times New Roman" w:eastAsiaTheme="minorEastAsia" w:hAnsi="Times New Roman" w:cs="Times New Roman"/>
          <w:sz w:val="24"/>
          <w:szCs w:val="24"/>
        </w:rPr>
        <w:t xml:space="preserve"> performance in a growing economy as measured by GDP growth.</w:t>
      </w:r>
      <w:r w:rsidR="00F325F9">
        <w:rPr>
          <w:rFonts w:ascii="Times New Roman" w:eastAsiaTheme="minorEastAsia" w:hAnsi="Times New Roman" w:cs="Times New Roman"/>
          <w:sz w:val="24"/>
          <w:szCs w:val="24"/>
        </w:rPr>
        <w:t xml:space="preserve"> </w:t>
      </w:r>
      <w:r w:rsidR="001F067A">
        <w:rPr>
          <w:rFonts w:ascii="Times New Roman" w:eastAsiaTheme="minorEastAsia" w:hAnsi="Times New Roman" w:cs="Times New Roman"/>
          <w:sz w:val="24"/>
          <w:szCs w:val="24"/>
        </w:rPr>
        <w:t>The i</w:t>
      </w:r>
      <w:r w:rsidR="00AC6AC4">
        <w:rPr>
          <w:rFonts w:ascii="Times New Roman" w:eastAsiaTheme="minorEastAsia" w:hAnsi="Times New Roman" w:cs="Times New Roman"/>
          <w:sz w:val="24"/>
          <w:szCs w:val="24"/>
        </w:rPr>
        <w:t xml:space="preserve">nclusion of GDP controls for variations in </w:t>
      </w:r>
      <w:r w:rsidR="002E65FD">
        <w:rPr>
          <w:rFonts w:ascii="Times New Roman" w:eastAsiaTheme="minorEastAsia" w:hAnsi="Times New Roman" w:cs="Times New Roman"/>
          <w:sz w:val="24"/>
          <w:szCs w:val="24"/>
        </w:rPr>
        <w:t xml:space="preserve">the economic growth of the different countries in our sample. </w:t>
      </w:r>
      <w:r w:rsidR="00F325F9">
        <w:rPr>
          <w:rFonts w:ascii="Times New Roman" w:eastAsiaTheme="minorEastAsia" w:hAnsi="Times New Roman" w:cs="Times New Roman"/>
          <w:sz w:val="24"/>
          <w:szCs w:val="24"/>
        </w:rPr>
        <w:t xml:space="preserve">Therefore, we expect GDP to be positively related to </w:t>
      </w:r>
      <w:r w:rsidR="00FB28C0">
        <w:rPr>
          <w:rFonts w:ascii="Times New Roman" w:eastAsiaTheme="minorEastAsia" w:hAnsi="Times New Roman" w:cs="Times New Roman"/>
          <w:sz w:val="24"/>
          <w:szCs w:val="24"/>
        </w:rPr>
        <w:t>post-SEO performance</w:t>
      </w:r>
      <w:r w:rsidR="00654E1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w:t>
      </w:r>
      <w:r w:rsidRPr="00435F60">
        <w:rPr>
          <w:rFonts w:ascii="Times New Roman" w:eastAsiaTheme="minorEastAsia" w:hAnsi="Times New Roman" w:cs="Times New Roman"/>
          <w:sz w:val="24"/>
          <w:szCs w:val="24"/>
        </w:rPr>
        <w:t xml:space="preserve"> inc</w:t>
      </w:r>
      <w:r>
        <w:rPr>
          <w:rFonts w:ascii="Times New Roman" w:eastAsiaTheme="minorEastAsia" w:hAnsi="Times New Roman" w:cs="Times New Roman"/>
          <w:sz w:val="24"/>
          <w:szCs w:val="24"/>
        </w:rPr>
        <w:t>orporate</w:t>
      </w:r>
      <w:r w:rsidRPr="00435F60">
        <w:rPr>
          <w:rFonts w:ascii="Times New Roman" w:eastAsiaTheme="minorEastAsia" w:hAnsi="Times New Roman" w:cs="Times New Roman"/>
          <w:sz w:val="24"/>
          <w:szCs w:val="24"/>
        </w:rPr>
        <w:t xml:space="preserve"> industry and year</w:t>
      </w:r>
      <w:r>
        <w:rPr>
          <w:rFonts w:ascii="Times New Roman" w:eastAsiaTheme="minorEastAsia" w:hAnsi="Times New Roman" w:cs="Times New Roman"/>
          <w:sz w:val="24"/>
          <w:szCs w:val="24"/>
        </w:rPr>
        <w:t>-</w:t>
      </w:r>
      <w:r w:rsidRPr="00435F60">
        <w:rPr>
          <w:rFonts w:ascii="Times New Roman" w:eastAsiaTheme="minorEastAsia" w:hAnsi="Times New Roman" w:cs="Times New Roman"/>
          <w:sz w:val="24"/>
          <w:szCs w:val="24"/>
        </w:rPr>
        <w:t>fixed effects</w:t>
      </w:r>
      <w:r>
        <w:rPr>
          <w:rFonts w:ascii="Times New Roman" w:eastAsiaTheme="minorEastAsia" w:hAnsi="Times New Roman" w:cs="Times New Roman"/>
          <w:sz w:val="24"/>
          <w:szCs w:val="24"/>
        </w:rPr>
        <w:t xml:space="preserve"> in the regressions to account for </w:t>
      </w:r>
      <w:r w:rsidR="00CD1096">
        <w:rPr>
          <w:rFonts w:ascii="Times New Roman" w:eastAsiaTheme="minorEastAsia" w:hAnsi="Times New Roman" w:cs="Times New Roman"/>
          <w:sz w:val="24"/>
          <w:szCs w:val="24"/>
        </w:rPr>
        <w:t>unobservabl</w:t>
      </w:r>
      <w:r w:rsidR="00566C6E">
        <w:rPr>
          <w:rFonts w:ascii="Times New Roman" w:eastAsiaTheme="minorEastAsia" w:hAnsi="Times New Roman" w:cs="Times New Roman"/>
          <w:sz w:val="24"/>
          <w:szCs w:val="24"/>
        </w:rPr>
        <w:t xml:space="preserve">e factors associated with </w:t>
      </w:r>
      <w:r w:rsidR="00C92A0F">
        <w:rPr>
          <w:rFonts w:ascii="Times New Roman" w:eastAsiaTheme="minorEastAsia" w:hAnsi="Times New Roman" w:cs="Times New Roman"/>
          <w:sz w:val="24"/>
          <w:szCs w:val="24"/>
        </w:rPr>
        <w:t xml:space="preserve">industries and </w:t>
      </w:r>
      <w:r>
        <w:rPr>
          <w:rFonts w:ascii="Times New Roman" w:eastAsiaTheme="minorEastAsia" w:hAnsi="Times New Roman" w:cs="Times New Roman"/>
          <w:sz w:val="24"/>
          <w:szCs w:val="24"/>
        </w:rPr>
        <w:t>time-invariant heterogeneity</w:t>
      </w:r>
      <w:r w:rsidR="00C92A0F">
        <w:rPr>
          <w:rFonts w:ascii="Times New Roman" w:eastAsiaTheme="minorEastAsia" w:hAnsi="Times New Roman" w:cs="Times New Roman"/>
          <w:sz w:val="24"/>
          <w:szCs w:val="24"/>
        </w:rPr>
        <w:t xml:space="preserve"> within our sample</w:t>
      </w:r>
      <w:r w:rsidRPr="00435F60">
        <w:rPr>
          <w:rFonts w:ascii="Times New Roman" w:eastAsiaTheme="minorEastAsia" w:hAnsi="Times New Roman" w:cs="Times New Roman"/>
          <w:sz w:val="24"/>
          <w:szCs w:val="24"/>
        </w:rPr>
        <w:t>.</w:t>
      </w:r>
    </w:p>
    <w:p w14:paraId="1D391928" w14:textId="22B86D4E" w:rsidR="008B0EE7" w:rsidRPr="006D0354" w:rsidRDefault="008B0EE7" w:rsidP="008B0EE7">
      <w:pPr>
        <w:spacing w:after="0" w:line="480" w:lineRule="auto"/>
        <w:jc w:val="both"/>
        <w:rPr>
          <w:rFonts w:ascii="Times New Roman" w:eastAsiaTheme="minorEastAsia" w:hAnsi="Times New Roman" w:cs="Times New Roman"/>
          <w:b/>
          <w:sz w:val="24"/>
          <w:szCs w:val="24"/>
        </w:rPr>
      </w:pPr>
      <w:r w:rsidRPr="006D0354">
        <w:rPr>
          <w:rFonts w:ascii="Times New Roman" w:eastAsiaTheme="minorEastAsia" w:hAnsi="Times New Roman" w:cs="Times New Roman"/>
          <w:b/>
          <w:sz w:val="24"/>
          <w:szCs w:val="24"/>
        </w:rPr>
        <w:t xml:space="preserve">4. Empirical </w:t>
      </w:r>
      <w:r w:rsidR="008B1205">
        <w:rPr>
          <w:rFonts w:ascii="Times New Roman" w:eastAsiaTheme="minorEastAsia" w:hAnsi="Times New Roman" w:cs="Times New Roman"/>
          <w:b/>
          <w:sz w:val="24"/>
          <w:szCs w:val="24"/>
        </w:rPr>
        <w:t>r</w:t>
      </w:r>
      <w:r w:rsidRPr="006D0354">
        <w:rPr>
          <w:rFonts w:ascii="Times New Roman" w:eastAsiaTheme="minorEastAsia" w:hAnsi="Times New Roman" w:cs="Times New Roman"/>
          <w:b/>
          <w:sz w:val="24"/>
          <w:szCs w:val="24"/>
        </w:rPr>
        <w:t>esults</w:t>
      </w:r>
    </w:p>
    <w:p w14:paraId="3286D817" w14:textId="77777777" w:rsidR="008B0EE7" w:rsidRPr="00435F60" w:rsidRDefault="008B0EE7" w:rsidP="008B0EE7">
      <w:pPr>
        <w:spacing w:after="0" w:line="480" w:lineRule="auto"/>
        <w:jc w:val="both"/>
        <w:rPr>
          <w:rFonts w:ascii="Times New Roman" w:hAnsi="Times New Roman" w:cs="Times New Roman"/>
          <w:i/>
          <w:sz w:val="24"/>
          <w:szCs w:val="24"/>
        </w:rPr>
      </w:pPr>
      <w:r w:rsidRPr="0024451D">
        <w:rPr>
          <w:rFonts w:ascii="Times New Roman" w:hAnsi="Times New Roman" w:cs="Times New Roman"/>
          <w:i/>
          <w:sz w:val="24"/>
          <w:szCs w:val="24"/>
        </w:rPr>
        <w:t>4.1. Sample distribution</w:t>
      </w:r>
    </w:p>
    <w:p w14:paraId="7A1CCBE9" w14:textId="526B572C" w:rsidR="008B0EE7" w:rsidRPr="000C2A10" w:rsidRDefault="008B0EE7"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A701A8">
        <w:rPr>
          <w:rFonts w:ascii="Times New Roman" w:hAnsi="Times New Roman" w:cs="Times New Roman"/>
          <w:sz w:val="24"/>
          <w:szCs w:val="24"/>
        </w:rPr>
        <w:t>2</w:t>
      </w:r>
      <w:r>
        <w:rPr>
          <w:rFonts w:ascii="Times New Roman" w:hAnsi="Times New Roman" w:cs="Times New Roman"/>
          <w:sz w:val="24"/>
          <w:szCs w:val="24"/>
        </w:rPr>
        <w:t xml:space="preserve"> reports the annual distribution of our sample by country</w:t>
      </w:r>
      <w:r w:rsidRPr="000C77F1">
        <w:rPr>
          <w:rFonts w:ascii="Times New Roman" w:hAnsi="Times New Roman" w:cs="Times New Roman"/>
          <w:sz w:val="24"/>
          <w:szCs w:val="24"/>
        </w:rPr>
        <w:t xml:space="preserve">. </w:t>
      </w:r>
      <w:r w:rsidR="00B16DEA">
        <w:rPr>
          <w:rFonts w:ascii="Times New Roman" w:hAnsi="Times New Roman" w:cs="Times New Roman"/>
          <w:sz w:val="24"/>
          <w:szCs w:val="24"/>
        </w:rPr>
        <w:t>There is</w:t>
      </w:r>
      <w:r w:rsidR="00924439">
        <w:rPr>
          <w:rFonts w:ascii="Times New Roman" w:hAnsi="Times New Roman" w:cs="Times New Roman"/>
          <w:sz w:val="24"/>
          <w:szCs w:val="24"/>
        </w:rPr>
        <w:t xml:space="preserve"> significant</w:t>
      </w:r>
      <w:r w:rsidR="00F42CE0">
        <w:rPr>
          <w:rFonts w:ascii="Times New Roman" w:hAnsi="Times New Roman" w:cs="Times New Roman"/>
          <w:sz w:val="24"/>
          <w:szCs w:val="24"/>
        </w:rPr>
        <w:t xml:space="preserve"> variation</w:t>
      </w:r>
      <w:r w:rsidR="007D6B37">
        <w:rPr>
          <w:rFonts w:ascii="Times New Roman" w:hAnsi="Times New Roman" w:cs="Times New Roman"/>
          <w:sz w:val="24"/>
          <w:szCs w:val="24"/>
        </w:rPr>
        <w:t xml:space="preserve"> in the number of observations across countries. </w:t>
      </w:r>
      <w:r>
        <w:rPr>
          <w:rFonts w:ascii="Times New Roman" w:hAnsi="Times New Roman" w:cs="Times New Roman"/>
          <w:sz w:val="24"/>
          <w:szCs w:val="24"/>
        </w:rPr>
        <w:t xml:space="preserve">Most of the SEOs are from Australia (5,142 SEOs) and the U.K. (1,688 SEOs) and the fewest are from </w:t>
      </w:r>
      <w:r w:rsidR="00924439">
        <w:rPr>
          <w:rFonts w:ascii="Times New Roman" w:hAnsi="Times New Roman" w:cs="Times New Roman"/>
          <w:sz w:val="24"/>
          <w:szCs w:val="24"/>
        </w:rPr>
        <w:t>Austria (43 SEOs)</w:t>
      </w:r>
      <w:r w:rsidR="007A30BB">
        <w:rPr>
          <w:rFonts w:ascii="Times New Roman" w:hAnsi="Times New Roman" w:cs="Times New Roman"/>
          <w:sz w:val="24"/>
          <w:szCs w:val="24"/>
        </w:rPr>
        <w:t xml:space="preserve"> and </w:t>
      </w:r>
      <w:r>
        <w:rPr>
          <w:rFonts w:ascii="Times New Roman" w:hAnsi="Times New Roman" w:cs="Times New Roman"/>
          <w:sz w:val="24"/>
          <w:szCs w:val="24"/>
        </w:rPr>
        <w:t xml:space="preserve">Portugal (27 </w:t>
      </w:r>
      <w:r>
        <w:rPr>
          <w:rFonts w:ascii="Times New Roman" w:hAnsi="Times New Roman" w:cs="Times New Roman"/>
          <w:sz w:val="24"/>
          <w:szCs w:val="24"/>
        </w:rPr>
        <w:lastRenderedPageBreak/>
        <w:t>SEOs). T</w:t>
      </w:r>
      <w:r w:rsidRPr="00435F60">
        <w:rPr>
          <w:rFonts w:ascii="Times New Roman" w:hAnsi="Times New Roman" w:cs="Times New Roman"/>
          <w:sz w:val="24"/>
          <w:szCs w:val="24"/>
        </w:rPr>
        <w:t xml:space="preserve">he sample distribution of SEOs over </w:t>
      </w:r>
      <w:r>
        <w:rPr>
          <w:rFonts w:ascii="Times New Roman" w:hAnsi="Times New Roman" w:cs="Times New Roman"/>
          <w:sz w:val="24"/>
          <w:szCs w:val="24"/>
        </w:rPr>
        <w:t xml:space="preserve">time </w:t>
      </w:r>
      <w:r w:rsidRPr="00435F60">
        <w:rPr>
          <w:rFonts w:ascii="Times New Roman" w:hAnsi="Times New Roman" w:cs="Times New Roman"/>
          <w:sz w:val="24"/>
          <w:szCs w:val="24"/>
        </w:rPr>
        <w:t>i</w:t>
      </w:r>
      <w:r>
        <w:rPr>
          <w:rFonts w:ascii="Times New Roman" w:hAnsi="Times New Roman" w:cs="Times New Roman"/>
          <w:sz w:val="24"/>
          <w:szCs w:val="24"/>
        </w:rPr>
        <w:t>s shown in</w:t>
      </w:r>
      <w:r w:rsidRPr="00435F60">
        <w:rPr>
          <w:rFonts w:ascii="Times New Roman" w:hAnsi="Times New Roman" w:cs="Times New Roman"/>
          <w:sz w:val="24"/>
          <w:szCs w:val="24"/>
        </w:rPr>
        <w:t xml:space="preserve"> Table </w:t>
      </w:r>
      <w:r w:rsidR="00D46A73">
        <w:rPr>
          <w:rFonts w:ascii="Times New Roman" w:hAnsi="Times New Roman" w:cs="Times New Roman"/>
          <w:sz w:val="24"/>
          <w:szCs w:val="24"/>
        </w:rPr>
        <w:t>3</w:t>
      </w:r>
      <w:r w:rsidRPr="00435F60">
        <w:rPr>
          <w:rFonts w:ascii="Times New Roman" w:hAnsi="Times New Roman" w:cs="Times New Roman"/>
          <w:sz w:val="24"/>
          <w:szCs w:val="24"/>
        </w:rPr>
        <w:t xml:space="preserve">. </w:t>
      </w:r>
      <w:r>
        <w:rPr>
          <w:rFonts w:ascii="Times New Roman" w:hAnsi="Times New Roman" w:cs="Times New Roman"/>
          <w:sz w:val="24"/>
          <w:szCs w:val="24"/>
        </w:rPr>
        <w:t>T</w:t>
      </w:r>
      <w:r w:rsidRPr="00435F60">
        <w:rPr>
          <w:rFonts w:ascii="Times New Roman" w:hAnsi="Times New Roman" w:cs="Times New Roman"/>
          <w:sz w:val="24"/>
          <w:szCs w:val="24"/>
        </w:rPr>
        <w:t>he number of SEOs increase</w:t>
      </w:r>
      <w:r>
        <w:rPr>
          <w:rFonts w:ascii="Times New Roman" w:hAnsi="Times New Roman" w:cs="Times New Roman"/>
          <w:sz w:val="24"/>
          <w:szCs w:val="24"/>
        </w:rPr>
        <w:t>s</w:t>
      </w:r>
      <w:r w:rsidRPr="00435F60">
        <w:rPr>
          <w:rFonts w:ascii="Times New Roman" w:hAnsi="Times New Roman" w:cs="Times New Roman"/>
          <w:sz w:val="24"/>
          <w:szCs w:val="24"/>
        </w:rPr>
        <w:t xml:space="preserve"> significantly from </w:t>
      </w:r>
      <w:r>
        <w:rPr>
          <w:rFonts w:ascii="Times New Roman" w:hAnsi="Times New Roman" w:cs="Times New Roman"/>
          <w:sz w:val="24"/>
          <w:szCs w:val="24"/>
        </w:rPr>
        <w:t>367</w:t>
      </w:r>
      <w:r w:rsidRPr="00435F60">
        <w:rPr>
          <w:rFonts w:ascii="Times New Roman" w:hAnsi="Times New Roman" w:cs="Times New Roman"/>
          <w:sz w:val="24"/>
          <w:szCs w:val="24"/>
        </w:rPr>
        <w:t xml:space="preserve"> in 200</w:t>
      </w:r>
      <w:r>
        <w:rPr>
          <w:rFonts w:ascii="Times New Roman" w:hAnsi="Times New Roman" w:cs="Times New Roman"/>
          <w:sz w:val="24"/>
          <w:szCs w:val="24"/>
        </w:rPr>
        <w:t>5</w:t>
      </w:r>
      <w:r w:rsidRPr="00435F60">
        <w:rPr>
          <w:rFonts w:ascii="Times New Roman" w:hAnsi="Times New Roman" w:cs="Times New Roman"/>
          <w:sz w:val="24"/>
          <w:szCs w:val="24"/>
        </w:rPr>
        <w:t xml:space="preserve"> to 1,</w:t>
      </w:r>
      <w:r>
        <w:rPr>
          <w:rFonts w:ascii="Times New Roman" w:hAnsi="Times New Roman" w:cs="Times New Roman"/>
          <w:sz w:val="24"/>
          <w:szCs w:val="24"/>
        </w:rPr>
        <w:t>253</w:t>
      </w:r>
      <w:r w:rsidRPr="00435F60">
        <w:rPr>
          <w:rFonts w:ascii="Times New Roman" w:hAnsi="Times New Roman" w:cs="Times New Roman"/>
          <w:sz w:val="24"/>
          <w:szCs w:val="24"/>
        </w:rPr>
        <w:t xml:space="preserve"> in 2017. This </w:t>
      </w:r>
      <w:r>
        <w:rPr>
          <w:rFonts w:ascii="Times New Roman" w:hAnsi="Times New Roman" w:cs="Times New Roman"/>
          <w:sz w:val="24"/>
          <w:szCs w:val="24"/>
        </w:rPr>
        <w:t>suggests</w:t>
      </w:r>
      <w:r w:rsidRPr="00435F60">
        <w:rPr>
          <w:rFonts w:ascii="Times New Roman" w:hAnsi="Times New Roman" w:cs="Times New Roman"/>
          <w:sz w:val="24"/>
          <w:szCs w:val="24"/>
        </w:rPr>
        <w:t xml:space="preserve"> </w:t>
      </w:r>
      <w:r>
        <w:rPr>
          <w:rFonts w:ascii="Times New Roman" w:hAnsi="Times New Roman" w:cs="Times New Roman"/>
          <w:sz w:val="24"/>
          <w:szCs w:val="24"/>
        </w:rPr>
        <w:t>an</w:t>
      </w:r>
      <w:r w:rsidRPr="00435F60">
        <w:rPr>
          <w:rFonts w:ascii="Times New Roman" w:hAnsi="Times New Roman" w:cs="Times New Roman"/>
          <w:sz w:val="24"/>
          <w:szCs w:val="24"/>
        </w:rPr>
        <w:t xml:space="preserve"> increasing trend in the number of SEOs. </w:t>
      </w:r>
      <w:r>
        <w:rPr>
          <w:rFonts w:ascii="Times New Roman" w:hAnsi="Times New Roman" w:cs="Times New Roman"/>
          <w:sz w:val="24"/>
          <w:szCs w:val="24"/>
        </w:rPr>
        <w:t>T</w:t>
      </w:r>
      <w:r w:rsidRPr="00435F60">
        <w:rPr>
          <w:rFonts w:ascii="Times New Roman" w:hAnsi="Times New Roman" w:cs="Times New Roman"/>
          <w:sz w:val="24"/>
          <w:szCs w:val="24"/>
        </w:rPr>
        <w:t xml:space="preserve">he largest percentage increase in the number of SEOs </w:t>
      </w:r>
      <w:r w:rsidR="0015016B">
        <w:rPr>
          <w:rFonts w:ascii="Times New Roman" w:hAnsi="Times New Roman" w:cs="Times New Roman"/>
          <w:sz w:val="24"/>
          <w:szCs w:val="24"/>
        </w:rPr>
        <w:t xml:space="preserve">occurred </w:t>
      </w:r>
      <w:r>
        <w:rPr>
          <w:rFonts w:ascii="Times New Roman" w:hAnsi="Times New Roman" w:cs="Times New Roman"/>
          <w:sz w:val="24"/>
          <w:szCs w:val="24"/>
        </w:rPr>
        <w:t xml:space="preserve">in 2009 </w:t>
      </w:r>
      <w:r w:rsidRPr="00435F60">
        <w:rPr>
          <w:rFonts w:ascii="Times New Roman" w:hAnsi="Times New Roman" w:cs="Times New Roman"/>
          <w:sz w:val="24"/>
          <w:szCs w:val="24"/>
        </w:rPr>
        <w:t>(</w:t>
      </w:r>
      <w:r>
        <w:rPr>
          <w:rFonts w:ascii="Times New Roman" w:hAnsi="Times New Roman" w:cs="Times New Roman"/>
          <w:sz w:val="24"/>
          <w:szCs w:val="24"/>
        </w:rPr>
        <w:t>96.21</w:t>
      </w:r>
      <w:r w:rsidRPr="00435F60">
        <w:rPr>
          <w:rFonts w:ascii="Times New Roman" w:hAnsi="Times New Roman" w:cs="Times New Roman"/>
          <w:sz w:val="24"/>
          <w:szCs w:val="24"/>
        </w:rPr>
        <w:t>%)</w:t>
      </w:r>
      <w:r>
        <w:rPr>
          <w:rFonts w:ascii="Times New Roman" w:hAnsi="Times New Roman" w:cs="Times New Roman"/>
          <w:sz w:val="24"/>
          <w:szCs w:val="24"/>
        </w:rPr>
        <w:t xml:space="preserve">, and </w:t>
      </w:r>
      <w:r w:rsidRPr="00435F60">
        <w:rPr>
          <w:rFonts w:ascii="Times New Roman" w:hAnsi="Times New Roman" w:cs="Times New Roman"/>
          <w:sz w:val="24"/>
          <w:szCs w:val="24"/>
        </w:rPr>
        <w:t>the smallest percentage increase in the number of SEOs</w:t>
      </w:r>
      <w:r>
        <w:rPr>
          <w:rFonts w:ascii="Times New Roman" w:hAnsi="Times New Roman" w:cs="Times New Roman"/>
          <w:sz w:val="24"/>
          <w:szCs w:val="24"/>
        </w:rPr>
        <w:t xml:space="preserve"> </w:t>
      </w:r>
      <w:r w:rsidR="002B1451">
        <w:rPr>
          <w:rFonts w:ascii="Times New Roman" w:hAnsi="Times New Roman" w:cs="Times New Roman"/>
          <w:sz w:val="24"/>
          <w:szCs w:val="24"/>
        </w:rPr>
        <w:t>was</w:t>
      </w:r>
      <w:r>
        <w:rPr>
          <w:rFonts w:ascii="Times New Roman" w:hAnsi="Times New Roman" w:cs="Times New Roman"/>
          <w:sz w:val="24"/>
          <w:szCs w:val="24"/>
        </w:rPr>
        <w:t xml:space="preserve"> in 2011 </w:t>
      </w:r>
      <w:r w:rsidRPr="00435F60">
        <w:rPr>
          <w:rFonts w:ascii="Times New Roman" w:hAnsi="Times New Roman" w:cs="Times New Roman"/>
          <w:sz w:val="24"/>
          <w:szCs w:val="24"/>
        </w:rPr>
        <w:t>(</w:t>
      </w:r>
      <w:r>
        <w:rPr>
          <w:rFonts w:ascii="Times New Roman" w:hAnsi="Times New Roman" w:cs="Times New Roman"/>
          <w:sz w:val="24"/>
          <w:szCs w:val="24"/>
        </w:rPr>
        <w:t>1.74</w:t>
      </w:r>
      <w:r w:rsidRPr="00435F60">
        <w:rPr>
          <w:rFonts w:ascii="Times New Roman" w:hAnsi="Times New Roman" w:cs="Times New Roman"/>
          <w:sz w:val="24"/>
          <w:szCs w:val="24"/>
        </w:rPr>
        <w:t xml:space="preserve">%). </w:t>
      </w:r>
      <w:r>
        <w:rPr>
          <w:rFonts w:ascii="Times New Roman" w:hAnsi="Times New Roman" w:cs="Times New Roman"/>
          <w:sz w:val="24"/>
          <w:szCs w:val="24"/>
        </w:rPr>
        <w:t>T</w:t>
      </w:r>
      <w:r w:rsidRPr="00435F60">
        <w:rPr>
          <w:rFonts w:ascii="Times New Roman" w:hAnsi="Times New Roman" w:cs="Times New Roman"/>
          <w:sz w:val="24"/>
          <w:szCs w:val="24"/>
        </w:rPr>
        <w:t>he</w:t>
      </w:r>
      <w:r>
        <w:rPr>
          <w:rFonts w:ascii="Times New Roman" w:hAnsi="Times New Roman" w:cs="Times New Roman"/>
          <w:sz w:val="24"/>
          <w:szCs w:val="24"/>
        </w:rPr>
        <w:t>re</w:t>
      </w:r>
      <w:r w:rsidRPr="00435F60">
        <w:rPr>
          <w:rFonts w:ascii="Times New Roman" w:hAnsi="Times New Roman" w:cs="Times New Roman"/>
          <w:sz w:val="24"/>
          <w:szCs w:val="24"/>
        </w:rPr>
        <w:t xml:space="preserve"> </w:t>
      </w:r>
      <w:r>
        <w:rPr>
          <w:rFonts w:ascii="Times New Roman" w:hAnsi="Times New Roman" w:cs="Times New Roman"/>
          <w:sz w:val="24"/>
          <w:szCs w:val="24"/>
        </w:rPr>
        <w:t xml:space="preserve">is a decrease of </w:t>
      </w:r>
      <w:r w:rsidRPr="00435F60">
        <w:rPr>
          <w:rFonts w:ascii="Times New Roman" w:hAnsi="Times New Roman" w:cs="Times New Roman"/>
          <w:sz w:val="24"/>
          <w:szCs w:val="24"/>
        </w:rPr>
        <w:t>-</w:t>
      </w:r>
      <w:r>
        <w:rPr>
          <w:rFonts w:ascii="Times New Roman" w:hAnsi="Times New Roman" w:cs="Times New Roman"/>
          <w:sz w:val="24"/>
          <w:szCs w:val="24"/>
        </w:rPr>
        <w:t>25</w:t>
      </w:r>
      <w:r w:rsidRPr="00435F60">
        <w:rPr>
          <w:rFonts w:ascii="Times New Roman" w:hAnsi="Times New Roman" w:cs="Times New Roman"/>
          <w:sz w:val="24"/>
          <w:szCs w:val="24"/>
        </w:rPr>
        <w:t>.</w:t>
      </w:r>
      <w:r>
        <w:rPr>
          <w:rFonts w:ascii="Times New Roman" w:hAnsi="Times New Roman" w:cs="Times New Roman"/>
          <w:sz w:val="24"/>
          <w:szCs w:val="24"/>
        </w:rPr>
        <w:t>45</w:t>
      </w:r>
      <w:r w:rsidRPr="00435F60">
        <w:rPr>
          <w:rFonts w:ascii="Times New Roman" w:hAnsi="Times New Roman" w:cs="Times New Roman"/>
          <w:sz w:val="24"/>
          <w:szCs w:val="24"/>
        </w:rPr>
        <w:t>%</w:t>
      </w:r>
      <w:r>
        <w:rPr>
          <w:rFonts w:ascii="Times New Roman" w:hAnsi="Times New Roman" w:cs="Times New Roman"/>
          <w:sz w:val="24"/>
          <w:szCs w:val="24"/>
        </w:rPr>
        <w:t xml:space="preserve"> in the </w:t>
      </w:r>
      <w:r w:rsidRPr="00435F60">
        <w:rPr>
          <w:rFonts w:ascii="Times New Roman" w:hAnsi="Times New Roman" w:cs="Times New Roman"/>
          <w:sz w:val="24"/>
          <w:szCs w:val="24"/>
        </w:rPr>
        <w:t xml:space="preserve">number of SEOs </w:t>
      </w:r>
      <w:r>
        <w:rPr>
          <w:rFonts w:ascii="Times New Roman" w:hAnsi="Times New Roman" w:cs="Times New Roman"/>
          <w:sz w:val="24"/>
          <w:szCs w:val="24"/>
        </w:rPr>
        <w:t xml:space="preserve">in 2008 representing the largest </w:t>
      </w:r>
      <w:r w:rsidR="002B1451">
        <w:rPr>
          <w:rFonts w:ascii="Times New Roman" w:hAnsi="Times New Roman" w:cs="Times New Roman"/>
          <w:sz w:val="24"/>
          <w:szCs w:val="24"/>
        </w:rPr>
        <w:t>decrease and</w:t>
      </w:r>
      <w:r>
        <w:rPr>
          <w:rFonts w:ascii="Times New Roman" w:hAnsi="Times New Roman" w:cs="Times New Roman"/>
          <w:sz w:val="24"/>
          <w:szCs w:val="24"/>
        </w:rPr>
        <w:t xml:space="preserve"> corresponds to the year of </w:t>
      </w:r>
      <w:r w:rsidR="009C3ADB">
        <w:rPr>
          <w:rFonts w:ascii="Times New Roman" w:hAnsi="Times New Roman" w:cs="Times New Roman"/>
          <w:sz w:val="24"/>
          <w:szCs w:val="24"/>
        </w:rPr>
        <w:t xml:space="preserve">the deepening of </w:t>
      </w:r>
      <w:r w:rsidR="002B1451">
        <w:rPr>
          <w:rFonts w:ascii="Times New Roman" w:hAnsi="Times New Roman" w:cs="Times New Roman"/>
          <w:sz w:val="24"/>
          <w:szCs w:val="24"/>
        </w:rPr>
        <w:t xml:space="preserve">the </w:t>
      </w:r>
      <w:r>
        <w:rPr>
          <w:rFonts w:ascii="Times New Roman" w:hAnsi="Times New Roman" w:cs="Times New Roman"/>
          <w:sz w:val="24"/>
          <w:szCs w:val="24"/>
        </w:rPr>
        <w:t>GFC.</w:t>
      </w:r>
    </w:p>
    <w:p w14:paraId="3DC79684" w14:textId="7AFC04CE"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D46A73">
        <w:rPr>
          <w:rFonts w:ascii="Times New Roman" w:hAnsi="Times New Roman" w:cs="Times New Roman"/>
          <w:b/>
          <w:bCs/>
          <w:iCs/>
          <w:sz w:val="24"/>
          <w:szCs w:val="24"/>
        </w:rPr>
        <w:t>2</w:t>
      </w:r>
      <w:r>
        <w:rPr>
          <w:rFonts w:ascii="Times New Roman" w:hAnsi="Times New Roman" w:cs="Times New Roman"/>
          <w:b/>
          <w:bCs/>
          <w:iCs/>
          <w:sz w:val="24"/>
          <w:szCs w:val="24"/>
        </w:rPr>
        <w:t xml:space="preserve"> about here]</w:t>
      </w:r>
    </w:p>
    <w:p w14:paraId="2CE61CF2" w14:textId="31513A2A"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D46A73">
        <w:rPr>
          <w:rFonts w:ascii="Times New Roman" w:hAnsi="Times New Roman" w:cs="Times New Roman"/>
          <w:b/>
          <w:bCs/>
          <w:iCs/>
          <w:sz w:val="24"/>
          <w:szCs w:val="24"/>
        </w:rPr>
        <w:t>3</w:t>
      </w:r>
      <w:r>
        <w:rPr>
          <w:rFonts w:ascii="Times New Roman" w:hAnsi="Times New Roman" w:cs="Times New Roman"/>
          <w:b/>
          <w:bCs/>
          <w:iCs/>
          <w:sz w:val="24"/>
          <w:szCs w:val="24"/>
        </w:rPr>
        <w:t xml:space="preserve"> about here]</w:t>
      </w:r>
    </w:p>
    <w:p w14:paraId="12F14556" w14:textId="77777777" w:rsidR="008B0EE7" w:rsidRPr="00435F60" w:rsidRDefault="008B0EE7" w:rsidP="008B0EE7">
      <w:pPr>
        <w:spacing w:after="0" w:line="480" w:lineRule="auto"/>
        <w:jc w:val="both"/>
        <w:rPr>
          <w:rFonts w:ascii="Times New Roman" w:hAnsi="Times New Roman" w:cs="Times New Roman"/>
          <w:i/>
          <w:sz w:val="24"/>
          <w:szCs w:val="24"/>
        </w:rPr>
      </w:pPr>
      <w:r w:rsidRPr="00E11523">
        <w:rPr>
          <w:rFonts w:ascii="Times New Roman" w:hAnsi="Times New Roman" w:cs="Times New Roman"/>
          <w:i/>
          <w:sz w:val="24"/>
          <w:szCs w:val="24"/>
        </w:rPr>
        <w:t>4.2. Descriptive statistics</w:t>
      </w:r>
    </w:p>
    <w:p w14:paraId="4CFDAA6A" w14:textId="45F49EE8" w:rsidR="008B0EE7" w:rsidRDefault="008B0EE7"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B5446B">
        <w:rPr>
          <w:rFonts w:ascii="Times New Roman" w:hAnsi="Times New Roman" w:cs="Times New Roman"/>
          <w:sz w:val="24"/>
          <w:szCs w:val="24"/>
        </w:rPr>
        <w:t>4</w:t>
      </w:r>
      <w:r>
        <w:rPr>
          <w:rFonts w:ascii="Times New Roman" w:hAnsi="Times New Roman" w:cs="Times New Roman"/>
          <w:sz w:val="24"/>
          <w:szCs w:val="24"/>
        </w:rPr>
        <w:t xml:space="preserve"> shows the d</w:t>
      </w:r>
      <w:r w:rsidRPr="00435F60">
        <w:rPr>
          <w:rFonts w:ascii="Times New Roman" w:hAnsi="Times New Roman" w:cs="Times New Roman"/>
          <w:sz w:val="24"/>
          <w:szCs w:val="24"/>
        </w:rPr>
        <w:t xml:space="preserve">escriptive statistics </w:t>
      </w:r>
      <w:r>
        <w:rPr>
          <w:rFonts w:ascii="Times New Roman" w:hAnsi="Times New Roman" w:cs="Times New Roman"/>
          <w:sz w:val="24"/>
          <w:szCs w:val="24"/>
        </w:rPr>
        <w:t>for the variables included in our analyses. T</w:t>
      </w:r>
      <w:r w:rsidRPr="00435F60">
        <w:rPr>
          <w:rFonts w:ascii="Times New Roman" w:hAnsi="Times New Roman" w:cs="Times New Roman"/>
          <w:sz w:val="24"/>
          <w:szCs w:val="24"/>
        </w:rPr>
        <w:t xml:space="preserve">o </w:t>
      </w:r>
      <w:r w:rsidR="00C40213">
        <w:rPr>
          <w:rFonts w:ascii="Times New Roman" w:hAnsi="Times New Roman" w:cs="Times New Roman"/>
          <w:sz w:val="24"/>
          <w:szCs w:val="24"/>
        </w:rPr>
        <w:t xml:space="preserve">reduce the likelihood </w:t>
      </w:r>
      <w:r w:rsidRPr="00435F60">
        <w:rPr>
          <w:rFonts w:ascii="Times New Roman" w:hAnsi="Times New Roman" w:cs="Times New Roman"/>
          <w:sz w:val="24"/>
          <w:szCs w:val="24"/>
        </w:rPr>
        <w:t>of outliers</w:t>
      </w:r>
      <w:r>
        <w:rPr>
          <w:rFonts w:ascii="Times New Roman" w:hAnsi="Times New Roman" w:cs="Times New Roman"/>
          <w:sz w:val="24"/>
          <w:szCs w:val="24"/>
        </w:rPr>
        <w:t xml:space="preserve"> unduly influencing our empirical results</w:t>
      </w:r>
      <w:r w:rsidRPr="00435F60">
        <w:rPr>
          <w:rFonts w:ascii="Times New Roman" w:hAnsi="Times New Roman" w:cs="Times New Roman"/>
          <w:sz w:val="24"/>
          <w:szCs w:val="24"/>
        </w:rPr>
        <w:t xml:space="preserve">, </w:t>
      </w:r>
      <w:r>
        <w:rPr>
          <w:rFonts w:ascii="Times New Roman" w:hAnsi="Times New Roman" w:cs="Times New Roman"/>
          <w:sz w:val="24"/>
          <w:szCs w:val="24"/>
        </w:rPr>
        <w:t xml:space="preserve">we winsorize </w:t>
      </w:r>
      <w:r w:rsidRPr="00435F60">
        <w:rPr>
          <w:rFonts w:ascii="Times New Roman" w:hAnsi="Times New Roman" w:cs="Times New Roman"/>
          <w:sz w:val="24"/>
          <w:szCs w:val="24"/>
        </w:rPr>
        <w:t>all continuous variables</w:t>
      </w:r>
      <w:r>
        <w:rPr>
          <w:rFonts w:ascii="Times New Roman" w:hAnsi="Times New Roman" w:cs="Times New Roman"/>
          <w:sz w:val="24"/>
          <w:szCs w:val="24"/>
        </w:rPr>
        <w:t xml:space="preserve"> </w:t>
      </w:r>
      <w:r w:rsidRPr="00435F60">
        <w:rPr>
          <w:rFonts w:ascii="Times New Roman" w:hAnsi="Times New Roman" w:cs="Times New Roman"/>
          <w:sz w:val="24"/>
          <w:szCs w:val="24"/>
        </w:rPr>
        <w:t xml:space="preserve">at </w:t>
      </w:r>
      <w:r>
        <w:rPr>
          <w:rFonts w:ascii="Times New Roman" w:hAnsi="Times New Roman" w:cs="Times New Roman"/>
          <w:sz w:val="24"/>
          <w:szCs w:val="24"/>
        </w:rPr>
        <w:t xml:space="preserve">conventional </w:t>
      </w:r>
      <w:r w:rsidRPr="00435F60">
        <w:rPr>
          <w:rFonts w:ascii="Times New Roman" w:hAnsi="Times New Roman" w:cs="Times New Roman"/>
          <w:sz w:val="24"/>
          <w:szCs w:val="24"/>
        </w:rPr>
        <w:t>levels</w:t>
      </w:r>
      <w:r>
        <w:rPr>
          <w:rFonts w:ascii="Times New Roman" w:hAnsi="Times New Roman" w:cs="Times New Roman"/>
          <w:sz w:val="24"/>
          <w:szCs w:val="24"/>
        </w:rPr>
        <w:t xml:space="preserve"> (</w:t>
      </w:r>
      <w:r w:rsidRPr="00435F60">
        <w:rPr>
          <w:rFonts w:ascii="Times New Roman" w:hAnsi="Times New Roman" w:cs="Times New Roman"/>
          <w:sz w:val="24"/>
          <w:szCs w:val="24"/>
        </w:rPr>
        <w:t>1% and 99%</w:t>
      </w:r>
      <w:r>
        <w:rPr>
          <w:rFonts w:ascii="Times New Roman" w:hAnsi="Times New Roman" w:cs="Times New Roman"/>
          <w:sz w:val="24"/>
          <w:szCs w:val="24"/>
        </w:rPr>
        <w:t>)</w:t>
      </w:r>
      <w:r w:rsidRPr="00435F60">
        <w:rPr>
          <w:rFonts w:ascii="Times New Roman" w:hAnsi="Times New Roman" w:cs="Times New Roman"/>
          <w:sz w:val="24"/>
          <w:szCs w:val="24"/>
        </w:rPr>
        <w:t>.</w:t>
      </w:r>
      <w:r>
        <w:rPr>
          <w:rFonts w:ascii="Times New Roman" w:hAnsi="Times New Roman" w:cs="Times New Roman"/>
          <w:sz w:val="24"/>
          <w:szCs w:val="24"/>
        </w:rPr>
        <w:t xml:space="preserve"> T</w:t>
      </w:r>
      <w:r w:rsidRPr="00435F60">
        <w:rPr>
          <w:rFonts w:ascii="Times New Roman" w:hAnsi="Times New Roman" w:cs="Times New Roman"/>
          <w:sz w:val="24"/>
          <w:szCs w:val="24"/>
        </w:rPr>
        <w:t>he mean (median)</w:t>
      </w:r>
      <w:r w:rsidR="009D5277">
        <w:rPr>
          <w:rFonts w:ascii="Times New Roman" w:hAnsi="Times New Roman" w:cs="Times New Roman"/>
          <w:sz w:val="24"/>
          <w:szCs w:val="24"/>
        </w:rPr>
        <w:t xml:space="preserve"> value of </w:t>
      </w:r>
      <w:r>
        <w:rPr>
          <w:rFonts w:ascii="Times New Roman" w:hAnsi="Times New Roman" w:cs="Times New Roman"/>
          <w:i/>
          <w:iCs/>
          <w:sz w:val="24"/>
          <w:szCs w:val="24"/>
        </w:rPr>
        <w:t>SEOP</w:t>
      </w:r>
      <w:r w:rsidRPr="00435F60">
        <w:rPr>
          <w:rFonts w:ascii="Times New Roman" w:hAnsi="Times New Roman" w:cs="Times New Roman"/>
          <w:sz w:val="24"/>
          <w:szCs w:val="24"/>
        </w:rPr>
        <w:t xml:space="preserve"> is </w:t>
      </w:r>
      <w:r>
        <w:rPr>
          <w:rFonts w:ascii="Times New Roman" w:hAnsi="Times New Roman" w:cs="Times New Roman"/>
          <w:sz w:val="24"/>
          <w:szCs w:val="24"/>
        </w:rPr>
        <w:t>-</w:t>
      </w:r>
      <w:r w:rsidRPr="00435F60">
        <w:rPr>
          <w:rFonts w:ascii="Times New Roman" w:hAnsi="Times New Roman" w:cs="Times New Roman"/>
          <w:sz w:val="24"/>
          <w:szCs w:val="24"/>
        </w:rPr>
        <w:t>0.0</w:t>
      </w:r>
      <w:r>
        <w:rPr>
          <w:rFonts w:ascii="Times New Roman" w:hAnsi="Times New Roman" w:cs="Times New Roman"/>
          <w:sz w:val="24"/>
          <w:szCs w:val="24"/>
        </w:rPr>
        <w:t>12</w:t>
      </w:r>
      <w:r w:rsidR="003276CA">
        <w:rPr>
          <w:rFonts w:ascii="Times New Roman" w:hAnsi="Times New Roman" w:cs="Times New Roman"/>
          <w:sz w:val="24"/>
          <w:szCs w:val="24"/>
        </w:rPr>
        <w:t>0</w:t>
      </w:r>
      <w:r w:rsidRPr="00435F60">
        <w:rPr>
          <w:rFonts w:ascii="Times New Roman" w:hAnsi="Times New Roman" w:cs="Times New Roman"/>
          <w:sz w:val="24"/>
          <w:szCs w:val="24"/>
        </w:rPr>
        <w:t xml:space="preserve"> (</w:t>
      </w:r>
      <w:r>
        <w:rPr>
          <w:rFonts w:ascii="Times New Roman" w:hAnsi="Times New Roman" w:cs="Times New Roman"/>
          <w:sz w:val="24"/>
          <w:szCs w:val="24"/>
        </w:rPr>
        <w:t>-</w:t>
      </w:r>
      <w:r w:rsidRPr="00435F60">
        <w:rPr>
          <w:rFonts w:ascii="Times New Roman" w:hAnsi="Times New Roman" w:cs="Times New Roman"/>
          <w:sz w:val="24"/>
          <w:szCs w:val="24"/>
        </w:rPr>
        <w:t>0.0</w:t>
      </w:r>
      <w:r>
        <w:rPr>
          <w:rFonts w:ascii="Times New Roman" w:hAnsi="Times New Roman" w:cs="Times New Roman"/>
          <w:sz w:val="24"/>
          <w:szCs w:val="24"/>
        </w:rPr>
        <w:t>31</w:t>
      </w:r>
      <w:r w:rsidR="003276CA">
        <w:rPr>
          <w:rFonts w:ascii="Times New Roman" w:hAnsi="Times New Roman" w:cs="Times New Roman"/>
          <w:sz w:val="24"/>
          <w:szCs w:val="24"/>
        </w:rPr>
        <w:t>3</w:t>
      </w:r>
      <w:r w:rsidRPr="00435F60">
        <w:rPr>
          <w:rFonts w:ascii="Times New Roman" w:hAnsi="Times New Roman" w:cs="Times New Roman"/>
          <w:sz w:val="24"/>
          <w:szCs w:val="24"/>
        </w:rPr>
        <w:t>)</w:t>
      </w:r>
      <w:r>
        <w:rPr>
          <w:rFonts w:ascii="Times New Roman" w:hAnsi="Times New Roman" w:cs="Times New Roman"/>
          <w:sz w:val="24"/>
          <w:szCs w:val="24"/>
        </w:rPr>
        <w:t>.</w:t>
      </w:r>
      <w:r w:rsidRPr="00435F60">
        <w:rPr>
          <w:rFonts w:ascii="Times New Roman" w:hAnsi="Times New Roman" w:cs="Times New Roman"/>
          <w:sz w:val="24"/>
          <w:szCs w:val="24"/>
        </w:rPr>
        <w:t xml:space="preserve"> The mean </w:t>
      </w:r>
      <w:r>
        <w:rPr>
          <w:rFonts w:ascii="Times New Roman" w:hAnsi="Times New Roman" w:cs="Times New Roman"/>
          <w:sz w:val="24"/>
          <w:szCs w:val="24"/>
        </w:rPr>
        <w:t xml:space="preserve">(median) </w:t>
      </w:r>
      <w:r w:rsidR="00232717">
        <w:rPr>
          <w:rFonts w:ascii="Times New Roman" w:hAnsi="Times New Roman" w:cs="Times New Roman"/>
          <w:sz w:val="24"/>
          <w:szCs w:val="24"/>
        </w:rPr>
        <w:t xml:space="preserve">value of </w:t>
      </w:r>
      <w:r w:rsidRPr="00435F60">
        <w:rPr>
          <w:rFonts w:ascii="Times New Roman" w:hAnsi="Times New Roman" w:cs="Times New Roman"/>
          <w:i/>
          <w:sz w:val="24"/>
          <w:szCs w:val="24"/>
        </w:rPr>
        <w:t>AEM</w:t>
      </w:r>
      <w:r w:rsidRPr="00435F60">
        <w:rPr>
          <w:rFonts w:ascii="Times New Roman" w:hAnsi="Times New Roman" w:cs="Times New Roman"/>
          <w:sz w:val="24"/>
          <w:szCs w:val="24"/>
        </w:rPr>
        <w:t xml:space="preserve"> is </w:t>
      </w:r>
      <w:r>
        <w:rPr>
          <w:rFonts w:ascii="Times New Roman" w:hAnsi="Times New Roman" w:cs="Times New Roman"/>
          <w:sz w:val="24"/>
          <w:szCs w:val="24"/>
        </w:rPr>
        <w:t>0.00</w:t>
      </w:r>
      <w:r w:rsidR="005000F6">
        <w:rPr>
          <w:rFonts w:ascii="Times New Roman" w:hAnsi="Times New Roman" w:cs="Times New Roman"/>
          <w:sz w:val="24"/>
          <w:szCs w:val="24"/>
        </w:rPr>
        <w:t>38</w:t>
      </w:r>
      <w:r>
        <w:rPr>
          <w:rFonts w:ascii="Times New Roman" w:hAnsi="Times New Roman" w:cs="Times New Roman"/>
          <w:sz w:val="24"/>
          <w:szCs w:val="24"/>
        </w:rPr>
        <w:t xml:space="preserve"> (0.00</w:t>
      </w:r>
      <w:r w:rsidR="005000F6">
        <w:rPr>
          <w:rFonts w:ascii="Times New Roman" w:hAnsi="Times New Roman" w:cs="Times New Roman"/>
          <w:sz w:val="24"/>
          <w:szCs w:val="24"/>
        </w:rPr>
        <w:t>19</w:t>
      </w:r>
      <w:r>
        <w:rPr>
          <w:rFonts w:ascii="Times New Roman" w:hAnsi="Times New Roman" w:cs="Times New Roman"/>
          <w:sz w:val="24"/>
          <w:szCs w:val="24"/>
        </w:rPr>
        <w:t xml:space="preserve">), the mean (median) </w:t>
      </w:r>
      <w:r w:rsidR="009C12E2">
        <w:rPr>
          <w:rFonts w:ascii="Times New Roman" w:hAnsi="Times New Roman" w:cs="Times New Roman"/>
          <w:sz w:val="24"/>
          <w:szCs w:val="24"/>
        </w:rPr>
        <w:t xml:space="preserve">value of </w:t>
      </w:r>
      <w:r w:rsidRPr="0039135E">
        <w:rPr>
          <w:rFonts w:ascii="Times New Roman" w:hAnsi="Times New Roman" w:cs="Times New Roman"/>
          <w:i/>
          <w:iCs/>
          <w:sz w:val="24"/>
          <w:szCs w:val="24"/>
        </w:rPr>
        <w:t>RA</w:t>
      </w:r>
      <w:r w:rsidRPr="00435F60">
        <w:rPr>
          <w:rFonts w:ascii="Times New Roman" w:hAnsi="Times New Roman" w:cs="Times New Roman"/>
          <w:i/>
          <w:sz w:val="24"/>
          <w:szCs w:val="24"/>
        </w:rPr>
        <w:t>M</w:t>
      </w:r>
      <w:r w:rsidRPr="00435F60">
        <w:rPr>
          <w:rFonts w:ascii="Times New Roman" w:hAnsi="Times New Roman" w:cs="Times New Roman"/>
          <w:sz w:val="24"/>
          <w:szCs w:val="24"/>
        </w:rPr>
        <w:t xml:space="preserve"> is </w:t>
      </w:r>
      <w:r>
        <w:rPr>
          <w:rFonts w:ascii="Times New Roman" w:hAnsi="Times New Roman" w:cs="Times New Roman"/>
          <w:sz w:val="24"/>
          <w:szCs w:val="24"/>
        </w:rPr>
        <w:t>0.019</w:t>
      </w:r>
      <w:r w:rsidR="00BF7B74">
        <w:rPr>
          <w:rFonts w:ascii="Times New Roman" w:hAnsi="Times New Roman" w:cs="Times New Roman"/>
          <w:sz w:val="24"/>
          <w:szCs w:val="24"/>
        </w:rPr>
        <w:t>3</w:t>
      </w:r>
      <w:r>
        <w:rPr>
          <w:rFonts w:ascii="Times New Roman" w:hAnsi="Times New Roman" w:cs="Times New Roman"/>
          <w:sz w:val="24"/>
          <w:szCs w:val="24"/>
        </w:rPr>
        <w:t xml:space="preserve"> (0.012</w:t>
      </w:r>
      <w:r w:rsidR="00BF7B74">
        <w:rPr>
          <w:rFonts w:ascii="Times New Roman" w:hAnsi="Times New Roman" w:cs="Times New Roman"/>
          <w:sz w:val="24"/>
          <w:szCs w:val="24"/>
        </w:rPr>
        <w:t>4</w:t>
      </w:r>
      <w:r>
        <w:rPr>
          <w:rFonts w:ascii="Times New Roman" w:hAnsi="Times New Roman" w:cs="Times New Roman"/>
          <w:sz w:val="24"/>
          <w:szCs w:val="24"/>
        </w:rPr>
        <w:t xml:space="preserve">) and the mean (median) </w:t>
      </w:r>
      <w:r w:rsidR="009C12E2">
        <w:rPr>
          <w:rFonts w:ascii="Times New Roman" w:hAnsi="Times New Roman" w:cs="Times New Roman"/>
          <w:sz w:val="24"/>
          <w:szCs w:val="24"/>
        </w:rPr>
        <w:t xml:space="preserve">value of </w:t>
      </w:r>
      <w:r>
        <w:rPr>
          <w:rFonts w:ascii="Times New Roman" w:hAnsi="Times New Roman" w:cs="Times New Roman"/>
          <w:i/>
          <w:iCs/>
          <w:sz w:val="24"/>
          <w:szCs w:val="24"/>
        </w:rPr>
        <w:t>T</w:t>
      </w:r>
      <w:r w:rsidRPr="00E53A32">
        <w:rPr>
          <w:rFonts w:ascii="Times New Roman" w:hAnsi="Times New Roman" w:cs="Times New Roman"/>
          <w:i/>
          <w:iCs/>
          <w:sz w:val="24"/>
          <w:szCs w:val="24"/>
        </w:rPr>
        <w:t>A</w:t>
      </w:r>
      <w:r>
        <w:rPr>
          <w:rFonts w:ascii="Times New Roman" w:hAnsi="Times New Roman" w:cs="Times New Roman"/>
          <w:i/>
          <w:sz w:val="24"/>
          <w:szCs w:val="24"/>
        </w:rPr>
        <w:t>R</w:t>
      </w:r>
      <w:r w:rsidRPr="00435F60">
        <w:rPr>
          <w:rFonts w:ascii="Times New Roman" w:hAnsi="Times New Roman" w:cs="Times New Roman"/>
          <w:sz w:val="24"/>
          <w:szCs w:val="24"/>
        </w:rPr>
        <w:t xml:space="preserve"> is </w:t>
      </w:r>
      <w:r>
        <w:rPr>
          <w:rFonts w:ascii="Times New Roman" w:hAnsi="Times New Roman" w:cs="Times New Roman"/>
          <w:sz w:val="24"/>
          <w:szCs w:val="24"/>
        </w:rPr>
        <w:t>0.023</w:t>
      </w:r>
      <w:r w:rsidR="00BF7B74">
        <w:rPr>
          <w:rFonts w:ascii="Times New Roman" w:hAnsi="Times New Roman" w:cs="Times New Roman"/>
          <w:sz w:val="24"/>
          <w:szCs w:val="24"/>
        </w:rPr>
        <w:t>1</w:t>
      </w:r>
      <w:r>
        <w:rPr>
          <w:rFonts w:ascii="Times New Roman" w:hAnsi="Times New Roman" w:cs="Times New Roman"/>
          <w:sz w:val="24"/>
          <w:szCs w:val="24"/>
        </w:rPr>
        <w:t xml:space="preserve"> (0.01</w:t>
      </w:r>
      <w:r w:rsidR="00D978A4">
        <w:rPr>
          <w:rFonts w:ascii="Times New Roman" w:hAnsi="Times New Roman" w:cs="Times New Roman"/>
          <w:sz w:val="24"/>
          <w:szCs w:val="24"/>
        </w:rPr>
        <w:t>57</w:t>
      </w:r>
      <w:r>
        <w:rPr>
          <w:rFonts w:ascii="Times New Roman" w:hAnsi="Times New Roman" w:cs="Times New Roman"/>
          <w:sz w:val="24"/>
          <w:szCs w:val="24"/>
        </w:rPr>
        <w:t xml:space="preserve">). The mean (median) </w:t>
      </w:r>
      <w:r w:rsidR="009C12E2">
        <w:rPr>
          <w:rFonts w:ascii="Times New Roman" w:hAnsi="Times New Roman" w:cs="Times New Roman"/>
          <w:sz w:val="24"/>
          <w:szCs w:val="24"/>
        </w:rPr>
        <w:t xml:space="preserve">value of </w:t>
      </w:r>
      <w:r w:rsidRPr="001578CB">
        <w:rPr>
          <w:rFonts w:ascii="Times New Roman" w:hAnsi="Times New Roman" w:cs="Times New Roman"/>
          <w:i/>
          <w:iCs/>
          <w:sz w:val="24"/>
          <w:szCs w:val="24"/>
        </w:rPr>
        <w:t>LAW</w:t>
      </w:r>
      <w:r>
        <w:rPr>
          <w:rFonts w:ascii="Times New Roman" w:hAnsi="Times New Roman" w:cs="Times New Roman"/>
          <w:sz w:val="24"/>
          <w:szCs w:val="24"/>
        </w:rPr>
        <w:t xml:space="preserve"> is 1.</w:t>
      </w:r>
      <w:r w:rsidR="008A53BE">
        <w:rPr>
          <w:rFonts w:ascii="Times New Roman" w:hAnsi="Times New Roman" w:cs="Times New Roman"/>
          <w:sz w:val="24"/>
          <w:szCs w:val="24"/>
        </w:rPr>
        <w:t>6225</w:t>
      </w:r>
      <w:r>
        <w:rPr>
          <w:rFonts w:ascii="Times New Roman" w:hAnsi="Times New Roman" w:cs="Times New Roman"/>
          <w:sz w:val="24"/>
          <w:szCs w:val="24"/>
        </w:rPr>
        <w:t xml:space="preserve"> (1.</w:t>
      </w:r>
      <w:r w:rsidR="000541CC">
        <w:rPr>
          <w:rFonts w:ascii="Times New Roman" w:hAnsi="Times New Roman" w:cs="Times New Roman"/>
          <w:sz w:val="24"/>
          <w:szCs w:val="24"/>
        </w:rPr>
        <w:t>7</w:t>
      </w:r>
      <w:r w:rsidR="008A53BE">
        <w:rPr>
          <w:rFonts w:ascii="Times New Roman" w:hAnsi="Times New Roman" w:cs="Times New Roman"/>
          <w:sz w:val="24"/>
          <w:szCs w:val="24"/>
        </w:rPr>
        <w:t>520</w:t>
      </w:r>
      <w:r>
        <w:rPr>
          <w:rFonts w:ascii="Times New Roman" w:hAnsi="Times New Roman" w:cs="Times New Roman"/>
          <w:sz w:val="24"/>
          <w:szCs w:val="24"/>
        </w:rPr>
        <w:t xml:space="preserve">). </w:t>
      </w:r>
      <w:r w:rsidR="009C12E2">
        <w:rPr>
          <w:rFonts w:ascii="Times New Roman" w:hAnsi="Times New Roman" w:cs="Times New Roman"/>
          <w:sz w:val="24"/>
          <w:szCs w:val="24"/>
        </w:rPr>
        <w:t>The a</w:t>
      </w:r>
      <w:r>
        <w:rPr>
          <w:rFonts w:ascii="Times New Roman" w:hAnsi="Times New Roman" w:cs="Times New Roman"/>
          <w:sz w:val="24"/>
          <w:szCs w:val="24"/>
        </w:rPr>
        <w:t xml:space="preserve">verage firm in our sample </w:t>
      </w:r>
      <w:r w:rsidR="0093239C">
        <w:rPr>
          <w:rFonts w:ascii="Times New Roman" w:hAnsi="Times New Roman" w:cs="Times New Roman"/>
          <w:sz w:val="24"/>
          <w:szCs w:val="24"/>
        </w:rPr>
        <w:t xml:space="preserve">is </w:t>
      </w:r>
      <w:r>
        <w:rPr>
          <w:rFonts w:ascii="Times New Roman" w:hAnsi="Times New Roman" w:cs="Times New Roman"/>
          <w:sz w:val="24"/>
          <w:szCs w:val="24"/>
        </w:rPr>
        <w:t>large (SIZE=7.35</w:t>
      </w:r>
      <w:r w:rsidR="008B312E">
        <w:rPr>
          <w:rFonts w:ascii="Times New Roman" w:hAnsi="Times New Roman" w:cs="Times New Roman"/>
          <w:sz w:val="24"/>
          <w:szCs w:val="24"/>
        </w:rPr>
        <w:t>76</w:t>
      </w:r>
      <w:r>
        <w:rPr>
          <w:rFonts w:ascii="Times New Roman" w:hAnsi="Times New Roman" w:cs="Times New Roman"/>
          <w:sz w:val="24"/>
          <w:szCs w:val="24"/>
        </w:rPr>
        <w:t>)</w:t>
      </w:r>
      <w:r w:rsidR="0093239C">
        <w:rPr>
          <w:rFonts w:ascii="Times New Roman" w:hAnsi="Times New Roman" w:cs="Times New Roman"/>
          <w:sz w:val="24"/>
          <w:szCs w:val="24"/>
        </w:rPr>
        <w:t>,</w:t>
      </w:r>
      <w:r w:rsidR="00A93004">
        <w:rPr>
          <w:rFonts w:ascii="Times New Roman" w:hAnsi="Times New Roman" w:cs="Times New Roman"/>
          <w:sz w:val="24"/>
          <w:szCs w:val="24"/>
        </w:rPr>
        <w:t xml:space="preserve"> has </w:t>
      </w:r>
      <w:r w:rsidR="001F067A">
        <w:rPr>
          <w:rFonts w:ascii="Times New Roman" w:hAnsi="Times New Roman" w:cs="Times New Roman"/>
          <w:sz w:val="24"/>
          <w:szCs w:val="24"/>
        </w:rPr>
        <w:t xml:space="preserve">a </w:t>
      </w:r>
      <w:r w:rsidR="00A93004">
        <w:rPr>
          <w:rFonts w:ascii="Times New Roman" w:hAnsi="Times New Roman" w:cs="Times New Roman"/>
          <w:sz w:val="24"/>
          <w:szCs w:val="24"/>
        </w:rPr>
        <w:t>relatively low</w:t>
      </w:r>
      <w:r>
        <w:rPr>
          <w:rFonts w:ascii="Times New Roman" w:hAnsi="Times New Roman" w:cs="Times New Roman"/>
          <w:sz w:val="24"/>
          <w:szCs w:val="24"/>
        </w:rPr>
        <w:t xml:space="preserve"> leverage ratio (LEV=0.19</w:t>
      </w:r>
      <w:r w:rsidR="00361AD6">
        <w:rPr>
          <w:rFonts w:ascii="Times New Roman" w:hAnsi="Times New Roman" w:cs="Times New Roman"/>
          <w:sz w:val="24"/>
          <w:szCs w:val="24"/>
        </w:rPr>
        <w:t>58</w:t>
      </w:r>
      <w:r>
        <w:rPr>
          <w:rFonts w:ascii="Times New Roman" w:hAnsi="Times New Roman" w:cs="Times New Roman"/>
          <w:sz w:val="24"/>
          <w:szCs w:val="24"/>
        </w:rPr>
        <w:t>), moderate growth opportunities (MTB=2.523</w:t>
      </w:r>
      <w:r w:rsidR="00361AD6">
        <w:rPr>
          <w:rFonts w:ascii="Times New Roman" w:hAnsi="Times New Roman" w:cs="Times New Roman"/>
          <w:sz w:val="24"/>
          <w:szCs w:val="24"/>
        </w:rPr>
        <w:t>5</w:t>
      </w:r>
      <w:r>
        <w:rPr>
          <w:rFonts w:ascii="Times New Roman" w:hAnsi="Times New Roman" w:cs="Times New Roman"/>
          <w:sz w:val="24"/>
          <w:szCs w:val="24"/>
        </w:rPr>
        <w:t>)</w:t>
      </w:r>
      <w:r w:rsidR="00B51925">
        <w:rPr>
          <w:rFonts w:ascii="Times New Roman" w:hAnsi="Times New Roman" w:cs="Times New Roman"/>
          <w:sz w:val="24"/>
          <w:szCs w:val="24"/>
        </w:rPr>
        <w:t>,</w:t>
      </w:r>
      <w:r>
        <w:rPr>
          <w:rFonts w:ascii="Times New Roman" w:hAnsi="Times New Roman" w:cs="Times New Roman"/>
          <w:sz w:val="24"/>
          <w:szCs w:val="24"/>
        </w:rPr>
        <w:t xml:space="preserve"> and the average cash and cash equivalent as a percentage of total assets (CASH) is 16.1</w:t>
      </w:r>
      <w:r w:rsidR="004E4400">
        <w:rPr>
          <w:rFonts w:ascii="Times New Roman" w:hAnsi="Times New Roman" w:cs="Times New Roman"/>
          <w:sz w:val="24"/>
          <w:szCs w:val="24"/>
        </w:rPr>
        <w:t>1</w:t>
      </w:r>
      <w:r>
        <w:rPr>
          <w:rFonts w:ascii="Times New Roman" w:hAnsi="Times New Roman" w:cs="Times New Roman"/>
          <w:sz w:val="24"/>
          <w:szCs w:val="24"/>
        </w:rPr>
        <w:t xml:space="preserve">%. On average, </w:t>
      </w:r>
      <w:r w:rsidR="004E4400">
        <w:rPr>
          <w:rFonts w:ascii="Times New Roman" w:hAnsi="Times New Roman" w:cs="Times New Roman"/>
          <w:sz w:val="24"/>
          <w:szCs w:val="24"/>
        </w:rPr>
        <w:t>12.61</w:t>
      </w:r>
      <w:r>
        <w:rPr>
          <w:rFonts w:ascii="Times New Roman" w:hAnsi="Times New Roman" w:cs="Times New Roman"/>
          <w:sz w:val="24"/>
          <w:szCs w:val="24"/>
        </w:rPr>
        <w:t xml:space="preserve">% of </w:t>
      </w:r>
      <w:r w:rsidR="00B51925">
        <w:rPr>
          <w:rFonts w:ascii="Times New Roman" w:hAnsi="Times New Roman" w:cs="Times New Roman"/>
          <w:sz w:val="24"/>
          <w:szCs w:val="24"/>
        </w:rPr>
        <w:t xml:space="preserve">the </w:t>
      </w:r>
      <w:r>
        <w:rPr>
          <w:rFonts w:ascii="Times New Roman" w:hAnsi="Times New Roman" w:cs="Times New Roman"/>
          <w:sz w:val="24"/>
          <w:szCs w:val="24"/>
        </w:rPr>
        <w:t>sample years were during the GFC period (GFC).</w:t>
      </w:r>
    </w:p>
    <w:p w14:paraId="3A7F8ADC" w14:textId="54810B63"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30502C">
        <w:rPr>
          <w:rFonts w:ascii="Times New Roman" w:hAnsi="Times New Roman" w:cs="Times New Roman"/>
          <w:b/>
          <w:bCs/>
          <w:iCs/>
          <w:sz w:val="24"/>
          <w:szCs w:val="24"/>
        </w:rPr>
        <w:t>4</w:t>
      </w:r>
      <w:r>
        <w:rPr>
          <w:rFonts w:ascii="Times New Roman" w:hAnsi="Times New Roman" w:cs="Times New Roman"/>
          <w:b/>
          <w:bCs/>
          <w:iCs/>
          <w:sz w:val="24"/>
          <w:szCs w:val="24"/>
        </w:rPr>
        <w:t xml:space="preserve"> about here]</w:t>
      </w:r>
    </w:p>
    <w:p w14:paraId="2D0D4D42" w14:textId="4E2A57E3" w:rsidR="00EB1176" w:rsidRPr="001578CB" w:rsidRDefault="007F441F" w:rsidP="001578CB">
      <w:pPr>
        <w:spacing w:after="0" w:line="480" w:lineRule="auto"/>
        <w:jc w:val="both"/>
        <w:rPr>
          <w:rFonts w:ascii="Times New Roman" w:hAnsi="Times New Roman" w:cs="Times New Roman"/>
          <w:i/>
          <w:iCs/>
          <w:sz w:val="24"/>
          <w:szCs w:val="24"/>
        </w:rPr>
      </w:pPr>
      <w:r w:rsidRPr="001578CB">
        <w:rPr>
          <w:rFonts w:ascii="Times New Roman" w:hAnsi="Times New Roman" w:cs="Times New Roman"/>
          <w:i/>
          <w:iCs/>
          <w:sz w:val="24"/>
          <w:szCs w:val="24"/>
        </w:rPr>
        <w:t>4.3 Correlation analysis</w:t>
      </w:r>
    </w:p>
    <w:p w14:paraId="49FEF868" w14:textId="65FACB9B" w:rsidR="008B0EE7" w:rsidRPr="00006499" w:rsidRDefault="008B0EE7" w:rsidP="001578CB">
      <w:pPr>
        <w:spacing w:after="0" w:line="480" w:lineRule="auto"/>
        <w:jc w:val="both"/>
        <w:rPr>
          <w:rFonts w:ascii="Times New Roman" w:hAnsi="Times New Roman" w:cs="Times New Roman"/>
          <w:sz w:val="24"/>
          <w:szCs w:val="24"/>
        </w:rPr>
      </w:pPr>
      <w:r w:rsidRPr="006F7641">
        <w:rPr>
          <w:rFonts w:ascii="Times New Roman" w:hAnsi="Times New Roman" w:cs="Times New Roman"/>
          <w:sz w:val="24"/>
          <w:szCs w:val="24"/>
        </w:rPr>
        <w:t xml:space="preserve">Table </w:t>
      </w:r>
      <w:r w:rsidR="0030502C">
        <w:rPr>
          <w:rFonts w:ascii="Times New Roman" w:hAnsi="Times New Roman" w:cs="Times New Roman"/>
          <w:sz w:val="24"/>
          <w:szCs w:val="24"/>
        </w:rPr>
        <w:t>5</w:t>
      </w:r>
      <w:r w:rsidRPr="006F7641">
        <w:rPr>
          <w:rFonts w:ascii="Times New Roman" w:hAnsi="Times New Roman" w:cs="Times New Roman"/>
          <w:sz w:val="24"/>
          <w:szCs w:val="24"/>
        </w:rPr>
        <w:t xml:space="preserve"> presents the Pearson correlation matrix for the full sample. The variable </w:t>
      </w:r>
      <w:r>
        <w:rPr>
          <w:rFonts w:ascii="Times New Roman" w:hAnsi="Times New Roman" w:cs="Times New Roman"/>
          <w:i/>
          <w:iCs/>
          <w:sz w:val="24"/>
          <w:szCs w:val="24"/>
        </w:rPr>
        <w:t>SEO</w:t>
      </w:r>
      <w:r w:rsidRPr="00531470">
        <w:rPr>
          <w:rFonts w:ascii="Times New Roman" w:hAnsi="Times New Roman" w:cs="Times New Roman"/>
          <w:i/>
          <w:iCs/>
          <w:sz w:val="24"/>
          <w:szCs w:val="24"/>
        </w:rPr>
        <w:t>P</w:t>
      </w:r>
      <w:r w:rsidRPr="00531470">
        <w:rPr>
          <w:rFonts w:ascii="Times New Roman" w:hAnsi="Times New Roman" w:cs="Times New Roman"/>
          <w:sz w:val="24"/>
          <w:szCs w:val="24"/>
        </w:rPr>
        <w:t>,</w:t>
      </w:r>
      <w:r w:rsidRPr="006F7641">
        <w:rPr>
          <w:rFonts w:ascii="Times New Roman" w:hAnsi="Times New Roman" w:cs="Times New Roman"/>
          <w:i/>
          <w:iCs/>
          <w:sz w:val="24"/>
          <w:szCs w:val="24"/>
        </w:rPr>
        <w:t xml:space="preserve"> </w:t>
      </w:r>
      <w:r w:rsidRPr="00531470">
        <w:rPr>
          <w:rFonts w:ascii="Times New Roman" w:hAnsi="Times New Roman" w:cs="Times New Roman"/>
          <w:sz w:val="24"/>
          <w:szCs w:val="24"/>
        </w:rPr>
        <w:t>our measure for post-SEO performance</w:t>
      </w:r>
      <w:r>
        <w:rPr>
          <w:rFonts w:ascii="Times New Roman" w:hAnsi="Times New Roman" w:cs="Times New Roman"/>
          <w:sz w:val="24"/>
          <w:szCs w:val="24"/>
        </w:rPr>
        <w:t>,</w:t>
      </w:r>
      <w:r w:rsidRPr="00531470">
        <w:rPr>
          <w:rFonts w:ascii="Times New Roman" w:hAnsi="Times New Roman" w:cs="Times New Roman"/>
          <w:sz w:val="24"/>
          <w:szCs w:val="24"/>
        </w:rPr>
        <w:t xml:space="preserve"> </w:t>
      </w:r>
      <w:r w:rsidRPr="006F7641">
        <w:rPr>
          <w:rFonts w:ascii="Times New Roman" w:hAnsi="Times New Roman" w:cs="Times New Roman"/>
          <w:sz w:val="24"/>
          <w:szCs w:val="24"/>
        </w:rPr>
        <w:t xml:space="preserve">is </w:t>
      </w:r>
      <w:r>
        <w:rPr>
          <w:rFonts w:ascii="Times New Roman" w:hAnsi="Times New Roman" w:cs="Times New Roman"/>
          <w:sz w:val="24"/>
          <w:szCs w:val="24"/>
        </w:rPr>
        <w:t xml:space="preserve">negatively and </w:t>
      </w:r>
      <w:r w:rsidRPr="006F7641">
        <w:rPr>
          <w:rFonts w:ascii="Times New Roman" w:hAnsi="Times New Roman" w:cs="Times New Roman"/>
          <w:sz w:val="24"/>
          <w:szCs w:val="24"/>
        </w:rPr>
        <w:t xml:space="preserve">significantly correlated with </w:t>
      </w:r>
      <w:r w:rsidRPr="001578CB">
        <w:rPr>
          <w:rFonts w:ascii="Times New Roman" w:hAnsi="Times New Roman" w:cs="Times New Roman"/>
          <w:i/>
          <w:iCs/>
          <w:sz w:val="24"/>
          <w:szCs w:val="24"/>
        </w:rPr>
        <w:t>AEM</w:t>
      </w:r>
      <w:r>
        <w:rPr>
          <w:rFonts w:ascii="Times New Roman" w:hAnsi="Times New Roman" w:cs="Times New Roman"/>
          <w:sz w:val="24"/>
          <w:szCs w:val="24"/>
        </w:rPr>
        <w:t xml:space="preserve"> (correlation coefficient = -0.06</w:t>
      </w:r>
      <w:r w:rsidR="00503A61">
        <w:rPr>
          <w:rFonts w:ascii="Times New Roman" w:hAnsi="Times New Roman" w:cs="Times New Roman"/>
          <w:sz w:val="24"/>
          <w:szCs w:val="24"/>
        </w:rPr>
        <w:t>35</w:t>
      </w:r>
      <w:r>
        <w:rPr>
          <w:rFonts w:ascii="Times New Roman" w:hAnsi="Times New Roman" w:cs="Times New Roman"/>
          <w:sz w:val="24"/>
          <w:szCs w:val="24"/>
        </w:rPr>
        <w:t xml:space="preserve">, </w:t>
      </w:r>
      <w:r w:rsidRPr="001578CB">
        <w:rPr>
          <w:rFonts w:ascii="Times New Roman" w:hAnsi="Times New Roman" w:cs="Times New Roman"/>
          <w:i/>
          <w:iCs/>
          <w:sz w:val="24"/>
          <w:szCs w:val="24"/>
        </w:rPr>
        <w:t>p</w:t>
      </w:r>
      <w:r>
        <w:rPr>
          <w:rFonts w:ascii="Times New Roman" w:hAnsi="Times New Roman" w:cs="Times New Roman"/>
          <w:sz w:val="24"/>
          <w:szCs w:val="24"/>
        </w:rPr>
        <w:t xml:space="preserve">&lt;0.01), </w:t>
      </w:r>
      <w:r w:rsidRPr="001578CB">
        <w:rPr>
          <w:rFonts w:ascii="Times New Roman" w:hAnsi="Times New Roman" w:cs="Times New Roman"/>
          <w:i/>
          <w:iCs/>
          <w:sz w:val="24"/>
          <w:szCs w:val="24"/>
        </w:rPr>
        <w:t>RAM</w:t>
      </w:r>
      <w:r>
        <w:rPr>
          <w:rFonts w:ascii="Times New Roman" w:hAnsi="Times New Roman" w:cs="Times New Roman"/>
          <w:sz w:val="24"/>
          <w:szCs w:val="24"/>
        </w:rPr>
        <w:t xml:space="preserve"> (correlation coefficient = -0.23</w:t>
      </w:r>
      <w:r w:rsidR="00503A61">
        <w:rPr>
          <w:rFonts w:ascii="Times New Roman" w:hAnsi="Times New Roman" w:cs="Times New Roman"/>
          <w:sz w:val="24"/>
          <w:szCs w:val="24"/>
        </w:rPr>
        <w:t>27</w:t>
      </w:r>
      <w:r>
        <w:rPr>
          <w:rFonts w:ascii="Times New Roman" w:hAnsi="Times New Roman" w:cs="Times New Roman"/>
          <w:sz w:val="24"/>
          <w:szCs w:val="24"/>
        </w:rPr>
        <w:t xml:space="preserve">, </w:t>
      </w:r>
      <w:r w:rsidRPr="001578CB">
        <w:rPr>
          <w:rFonts w:ascii="Times New Roman" w:hAnsi="Times New Roman" w:cs="Times New Roman"/>
          <w:i/>
          <w:iCs/>
          <w:sz w:val="24"/>
          <w:szCs w:val="24"/>
        </w:rPr>
        <w:t>p</w:t>
      </w:r>
      <w:r>
        <w:rPr>
          <w:rFonts w:ascii="Times New Roman" w:hAnsi="Times New Roman" w:cs="Times New Roman"/>
          <w:sz w:val="24"/>
          <w:szCs w:val="24"/>
        </w:rPr>
        <w:t xml:space="preserve">&lt;0.01) and </w:t>
      </w:r>
      <w:r w:rsidRPr="001578CB">
        <w:rPr>
          <w:rFonts w:ascii="Times New Roman" w:hAnsi="Times New Roman" w:cs="Times New Roman"/>
          <w:i/>
          <w:iCs/>
          <w:sz w:val="24"/>
          <w:szCs w:val="24"/>
        </w:rPr>
        <w:t>TAR</w:t>
      </w:r>
      <w:r>
        <w:rPr>
          <w:rFonts w:ascii="Times New Roman" w:hAnsi="Times New Roman" w:cs="Times New Roman"/>
          <w:sz w:val="24"/>
          <w:szCs w:val="24"/>
        </w:rPr>
        <w:t xml:space="preserve"> (correlation coefficient = -0.21</w:t>
      </w:r>
      <w:r w:rsidR="0047308C">
        <w:rPr>
          <w:rFonts w:ascii="Times New Roman" w:hAnsi="Times New Roman" w:cs="Times New Roman"/>
          <w:sz w:val="24"/>
          <w:szCs w:val="24"/>
        </w:rPr>
        <w:t>15</w:t>
      </w:r>
      <w:r>
        <w:rPr>
          <w:rFonts w:ascii="Times New Roman" w:hAnsi="Times New Roman" w:cs="Times New Roman"/>
          <w:sz w:val="24"/>
          <w:szCs w:val="24"/>
        </w:rPr>
        <w:t xml:space="preserve">, </w:t>
      </w:r>
      <w:r w:rsidRPr="001578CB">
        <w:rPr>
          <w:rFonts w:ascii="Times New Roman" w:hAnsi="Times New Roman" w:cs="Times New Roman"/>
          <w:i/>
          <w:iCs/>
          <w:sz w:val="24"/>
          <w:szCs w:val="24"/>
        </w:rPr>
        <w:t>p</w:t>
      </w:r>
      <w:r>
        <w:rPr>
          <w:rFonts w:ascii="Times New Roman" w:hAnsi="Times New Roman" w:cs="Times New Roman"/>
          <w:sz w:val="24"/>
          <w:szCs w:val="24"/>
        </w:rPr>
        <w:t xml:space="preserve">&lt;0.01), providing univariate support </w:t>
      </w:r>
      <w:r w:rsidR="00B51925">
        <w:rPr>
          <w:rFonts w:ascii="Times New Roman" w:hAnsi="Times New Roman" w:cs="Times New Roman"/>
          <w:sz w:val="24"/>
          <w:szCs w:val="24"/>
        </w:rPr>
        <w:t xml:space="preserve">for the </w:t>
      </w:r>
      <w:r w:rsidR="00B51925">
        <w:rPr>
          <w:rFonts w:ascii="Times New Roman" w:hAnsi="Times New Roman" w:cs="Times New Roman"/>
          <w:sz w:val="24"/>
          <w:szCs w:val="24"/>
        </w:rPr>
        <w:lastRenderedPageBreak/>
        <w:t xml:space="preserve">expectation </w:t>
      </w:r>
      <w:r>
        <w:rPr>
          <w:rFonts w:ascii="Times New Roman" w:hAnsi="Times New Roman" w:cs="Times New Roman"/>
          <w:sz w:val="24"/>
          <w:szCs w:val="24"/>
        </w:rPr>
        <w:t xml:space="preserve">that earnings management leads to poor post-SEO performance. </w:t>
      </w:r>
      <w:r w:rsidRPr="001578CB">
        <w:rPr>
          <w:rFonts w:ascii="Times New Roman" w:hAnsi="Times New Roman" w:cs="Times New Roman"/>
          <w:i/>
          <w:iCs/>
          <w:sz w:val="24"/>
          <w:szCs w:val="24"/>
        </w:rPr>
        <w:t>SEOP</w:t>
      </w:r>
      <w:r>
        <w:rPr>
          <w:rFonts w:ascii="Times New Roman" w:hAnsi="Times New Roman" w:cs="Times New Roman"/>
          <w:sz w:val="24"/>
          <w:szCs w:val="24"/>
        </w:rPr>
        <w:t xml:space="preserve"> is significantly correlated with </w:t>
      </w:r>
      <w:r w:rsidRPr="006F7641">
        <w:rPr>
          <w:rFonts w:ascii="Times New Roman" w:hAnsi="Times New Roman" w:cs="Times New Roman"/>
          <w:sz w:val="24"/>
          <w:szCs w:val="24"/>
        </w:rPr>
        <w:t xml:space="preserve">all of the </w:t>
      </w:r>
      <w:r>
        <w:rPr>
          <w:rFonts w:ascii="Times New Roman" w:hAnsi="Times New Roman" w:cs="Times New Roman"/>
          <w:sz w:val="24"/>
          <w:szCs w:val="24"/>
        </w:rPr>
        <w:t xml:space="preserve">other </w:t>
      </w:r>
      <w:r w:rsidRPr="006F7641">
        <w:rPr>
          <w:rFonts w:ascii="Times New Roman" w:hAnsi="Times New Roman" w:cs="Times New Roman"/>
          <w:sz w:val="24"/>
          <w:szCs w:val="24"/>
        </w:rPr>
        <w:t>explanatory variables at the 1% level or stronger</w:t>
      </w:r>
      <w:r>
        <w:rPr>
          <w:rFonts w:ascii="Times New Roman" w:hAnsi="Times New Roman" w:cs="Times New Roman"/>
          <w:sz w:val="24"/>
          <w:szCs w:val="24"/>
        </w:rPr>
        <w:t xml:space="preserve">, except </w:t>
      </w:r>
      <w:r w:rsidRPr="001578CB">
        <w:rPr>
          <w:rFonts w:ascii="Times New Roman" w:hAnsi="Times New Roman" w:cs="Times New Roman"/>
          <w:i/>
          <w:iCs/>
          <w:sz w:val="24"/>
          <w:szCs w:val="24"/>
        </w:rPr>
        <w:t>LAW</w:t>
      </w:r>
      <w:r>
        <w:rPr>
          <w:rFonts w:ascii="Times New Roman" w:hAnsi="Times New Roman" w:cs="Times New Roman"/>
          <w:sz w:val="24"/>
          <w:szCs w:val="24"/>
        </w:rPr>
        <w:t xml:space="preserve">, </w:t>
      </w:r>
      <w:r w:rsidRPr="001578CB">
        <w:rPr>
          <w:rFonts w:ascii="Times New Roman" w:hAnsi="Times New Roman" w:cs="Times New Roman"/>
          <w:i/>
          <w:iCs/>
          <w:sz w:val="24"/>
          <w:szCs w:val="24"/>
        </w:rPr>
        <w:t>GFC</w:t>
      </w:r>
      <w:r>
        <w:rPr>
          <w:rFonts w:ascii="Times New Roman" w:hAnsi="Times New Roman" w:cs="Times New Roman"/>
          <w:sz w:val="24"/>
          <w:szCs w:val="24"/>
        </w:rPr>
        <w:t xml:space="preserve">, and </w:t>
      </w:r>
      <w:r w:rsidRPr="001578CB">
        <w:rPr>
          <w:rFonts w:ascii="Times New Roman" w:hAnsi="Times New Roman" w:cs="Times New Roman"/>
          <w:i/>
          <w:iCs/>
          <w:sz w:val="24"/>
          <w:szCs w:val="24"/>
        </w:rPr>
        <w:t>GDP</w:t>
      </w:r>
      <w:r w:rsidRPr="006F7641">
        <w:rPr>
          <w:rFonts w:ascii="Times New Roman" w:hAnsi="Times New Roman" w:cs="Times New Roman"/>
          <w:sz w:val="24"/>
          <w:szCs w:val="24"/>
        </w:rPr>
        <w:t>.</w:t>
      </w:r>
      <w:r>
        <w:rPr>
          <w:rFonts w:ascii="Times New Roman" w:hAnsi="Times New Roman" w:cs="Times New Roman"/>
          <w:sz w:val="24"/>
          <w:szCs w:val="24"/>
        </w:rPr>
        <w:t xml:space="preserve"> Specifically,</w:t>
      </w:r>
      <w:r w:rsidRPr="006F7641">
        <w:rPr>
          <w:rFonts w:ascii="Times New Roman" w:hAnsi="Times New Roman" w:cs="Times New Roman"/>
          <w:sz w:val="24"/>
          <w:szCs w:val="24"/>
        </w:rPr>
        <w:t xml:space="preserve"> </w:t>
      </w:r>
      <w:r w:rsidRPr="001578CB">
        <w:rPr>
          <w:rFonts w:ascii="Times New Roman" w:hAnsi="Times New Roman" w:cs="Times New Roman"/>
          <w:i/>
          <w:iCs/>
          <w:sz w:val="24"/>
          <w:szCs w:val="24"/>
        </w:rPr>
        <w:t>SEOP</w:t>
      </w:r>
      <w:r>
        <w:rPr>
          <w:rFonts w:ascii="Times New Roman" w:hAnsi="Times New Roman" w:cs="Times New Roman"/>
          <w:sz w:val="24"/>
          <w:szCs w:val="24"/>
        </w:rPr>
        <w:t xml:space="preserve"> is positively and significantly correlated with </w:t>
      </w:r>
      <w:r w:rsidRPr="001578CB">
        <w:rPr>
          <w:rFonts w:ascii="Times New Roman" w:hAnsi="Times New Roman" w:cs="Times New Roman"/>
          <w:i/>
          <w:iCs/>
          <w:sz w:val="24"/>
          <w:szCs w:val="24"/>
        </w:rPr>
        <w:t>SIZE</w:t>
      </w:r>
      <w:r>
        <w:rPr>
          <w:rFonts w:ascii="Times New Roman" w:hAnsi="Times New Roman" w:cs="Times New Roman"/>
          <w:sz w:val="24"/>
          <w:szCs w:val="24"/>
        </w:rPr>
        <w:t xml:space="preserve">, </w:t>
      </w:r>
      <w:r w:rsidRPr="001578CB">
        <w:rPr>
          <w:rFonts w:ascii="Times New Roman" w:hAnsi="Times New Roman" w:cs="Times New Roman"/>
          <w:i/>
          <w:iCs/>
          <w:sz w:val="24"/>
          <w:szCs w:val="24"/>
        </w:rPr>
        <w:t>AGE</w:t>
      </w:r>
      <w:r>
        <w:rPr>
          <w:rFonts w:ascii="Times New Roman" w:hAnsi="Times New Roman" w:cs="Times New Roman"/>
          <w:sz w:val="24"/>
          <w:szCs w:val="24"/>
        </w:rPr>
        <w:t xml:space="preserve">, and </w:t>
      </w:r>
      <w:r w:rsidRPr="001578CB">
        <w:rPr>
          <w:rFonts w:ascii="Times New Roman" w:hAnsi="Times New Roman" w:cs="Times New Roman"/>
          <w:i/>
          <w:iCs/>
          <w:sz w:val="24"/>
          <w:szCs w:val="24"/>
        </w:rPr>
        <w:t>CAPEX</w:t>
      </w:r>
      <w:r>
        <w:rPr>
          <w:rFonts w:ascii="Times New Roman" w:hAnsi="Times New Roman" w:cs="Times New Roman"/>
          <w:sz w:val="24"/>
          <w:szCs w:val="24"/>
        </w:rPr>
        <w:t xml:space="preserve"> but negatively and significantly correlated with </w:t>
      </w:r>
      <w:r w:rsidRPr="001578CB">
        <w:rPr>
          <w:rFonts w:ascii="Times New Roman" w:hAnsi="Times New Roman" w:cs="Times New Roman"/>
          <w:i/>
          <w:iCs/>
          <w:sz w:val="24"/>
          <w:szCs w:val="24"/>
        </w:rPr>
        <w:t>LEV</w:t>
      </w:r>
      <w:r>
        <w:rPr>
          <w:rFonts w:ascii="Times New Roman" w:hAnsi="Times New Roman" w:cs="Times New Roman"/>
          <w:sz w:val="24"/>
          <w:szCs w:val="24"/>
        </w:rPr>
        <w:t xml:space="preserve">, </w:t>
      </w:r>
      <w:r w:rsidRPr="001578CB">
        <w:rPr>
          <w:rFonts w:ascii="Times New Roman" w:hAnsi="Times New Roman" w:cs="Times New Roman"/>
          <w:i/>
          <w:iCs/>
          <w:sz w:val="24"/>
          <w:szCs w:val="24"/>
        </w:rPr>
        <w:t>CASH</w:t>
      </w:r>
      <w:r>
        <w:rPr>
          <w:rFonts w:ascii="Times New Roman" w:hAnsi="Times New Roman" w:cs="Times New Roman"/>
          <w:sz w:val="24"/>
          <w:szCs w:val="24"/>
        </w:rPr>
        <w:t xml:space="preserve">, and </w:t>
      </w:r>
      <w:r w:rsidRPr="001578CB">
        <w:rPr>
          <w:rFonts w:ascii="Times New Roman" w:hAnsi="Times New Roman" w:cs="Times New Roman"/>
          <w:i/>
          <w:iCs/>
          <w:sz w:val="24"/>
          <w:szCs w:val="24"/>
        </w:rPr>
        <w:t>MTB</w:t>
      </w:r>
      <w:r>
        <w:rPr>
          <w:rFonts w:ascii="Times New Roman" w:hAnsi="Times New Roman" w:cs="Times New Roman"/>
          <w:sz w:val="24"/>
          <w:szCs w:val="24"/>
        </w:rPr>
        <w:t>. W</w:t>
      </w:r>
      <w:r w:rsidRPr="006F7641">
        <w:rPr>
          <w:rFonts w:ascii="Times New Roman" w:hAnsi="Times New Roman" w:cs="Times New Roman"/>
          <w:sz w:val="24"/>
          <w:szCs w:val="24"/>
          <w:lang w:val="en-US"/>
        </w:rPr>
        <w:t>e compute variance inflation factors (VIFs) when estimating our regression models to test for multicollinearity. Our results (untabulated) show that none of the VIFs exceeds five for any of the explanatory variables, so multicollinearity is not a significant concern in our study (</w:t>
      </w:r>
      <w:r w:rsidR="00634919">
        <w:rPr>
          <w:rFonts w:ascii="Times New Roman" w:hAnsi="Times New Roman" w:cs="Times New Roman"/>
          <w:sz w:val="24"/>
          <w:szCs w:val="24"/>
          <w:lang w:val="en-US"/>
        </w:rPr>
        <w:t>for example</w:t>
      </w:r>
      <w:r w:rsidRPr="006F7641">
        <w:rPr>
          <w:rFonts w:ascii="Times New Roman" w:hAnsi="Times New Roman" w:cs="Times New Roman"/>
          <w:sz w:val="24"/>
          <w:szCs w:val="24"/>
          <w:lang w:val="en-US"/>
        </w:rPr>
        <w:t>, Kutner et al., 2004).</w:t>
      </w:r>
    </w:p>
    <w:p w14:paraId="558C897E" w14:textId="6161EC06"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30502C">
        <w:rPr>
          <w:rFonts w:ascii="Times New Roman" w:hAnsi="Times New Roman" w:cs="Times New Roman"/>
          <w:b/>
          <w:bCs/>
          <w:iCs/>
          <w:sz w:val="24"/>
          <w:szCs w:val="24"/>
        </w:rPr>
        <w:t>5</w:t>
      </w:r>
      <w:r>
        <w:rPr>
          <w:rFonts w:ascii="Times New Roman" w:hAnsi="Times New Roman" w:cs="Times New Roman"/>
          <w:b/>
          <w:bCs/>
          <w:iCs/>
          <w:sz w:val="24"/>
          <w:szCs w:val="24"/>
        </w:rPr>
        <w:t xml:space="preserve"> about here]</w:t>
      </w:r>
    </w:p>
    <w:p w14:paraId="0B838D34" w14:textId="04A87F8B" w:rsidR="008B0EE7" w:rsidRPr="00435F60" w:rsidRDefault="008B0EE7" w:rsidP="008B0EE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4</w:t>
      </w:r>
      <w:r w:rsidRPr="00435F60">
        <w:rPr>
          <w:rFonts w:ascii="Times New Roman" w:hAnsi="Times New Roman" w:cs="Times New Roman"/>
          <w:i/>
          <w:sz w:val="24"/>
          <w:szCs w:val="24"/>
        </w:rPr>
        <w:t>.</w:t>
      </w:r>
      <w:r w:rsidR="007F441F">
        <w:rPr>
          <w:rFonts w:ascii="Times New Roman" w:hAnsi="Times New Roman" w:cs="Times New Roman"/>
          <w:i/>
          <w:sz w:val="24"/>
          <w:szCs w:val="24"/>
        </w:rPr>
        <w:t>4</w:t>
      </w:r>
      <w:r>
        <w:rPr>
          <w:rFonts w:ascii="Times New Roman" w:hAnsi="Times New Roman" w:cs="Times New Roman"/>
          <w:i/>
          <w:sz w:val="24"/>
          <w:szCs w:val="24"/>
        </w:rPr>
        <w:t>. Regression</w:t>
      </w:r>
      <w:r w:rsidRPr="00435F60">
        <w:rPr>
          <w:rFonts w:ascii="Times New Roman" w:hAnsi="Times New Roman" w:cs="Times New Roman"/>
          <w:i/>
          <w:sz w:val="24"/>
          <w:szCs w:val="24"/>
        </w:rPr>
        <w:t xml:space="preserve"> results</w:t>
      </w:r>
    </w:p>
    <w:p w14:paraId="50CCC2FB" w14:textId="4F31B769" w:rsidR="008B0EE7" w:rsidRPr="00435F60" w:rsidRDefault="008B0EE7" w:rsidP="008B0EE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4</w:t>
      </w:r>
      <w:r w:rsidRPr="00435F60">
        <w:rPr>
          <w:rFonts w:ascii="Times New Roman" w:hAnsi="Times New Roman" w:cs="Times New Roman"/>
          <w:i/>
          <w:sz w:val="24"/>
          <w:szCs w:val="24"/>
        </w:rPr>
        <w:t>.</w:t>
      </w:r>
      <w:r w:rsidR="007F441F">
        <w:rPr>
          <w:rFonts w:ascii="Times New Roman" w:hAnsi="Times New Roman" w:cs="Times New Roman"/>
          <w:i/>
          <w:sz w:val="24"/>
          <w:szCs w:val="24"/>
        </w:rPr>
        <w:t>4</w:t>
      </w:r>
      <w:r w:rsidRPr="00435F60">
        <w:rPr>
          <w:rFonts w:ascii="Times New Roman" w:hAnsi="Times New Roman" w:cs="Times New Roman"/>
          <w:i/>
          <w:sz w:val="24"/>
          <w:szCs w:val="24"/>
        </w:rPr>
        <w:t>.1</w:t>
      </w:r>
      <w:r>
        <w:rPr>
          <w:rFonts w:ascii="Times New Roman" w:hAnsi="Times New Roman" w:cs="Times New Roman"/>
          <w:i/>
          <w:sz w:val="24"/>
          <w:szCs w:val="24"/>
        </w:rPr>
        <w:t>.</w:t>
      </w:r>
      <w:r w:rsidRPr="00435F60">
        <w:rPr>
          <w:rFonts w:ascii="Times New Roman" w:hAnsi="Times New Roman" w:cs="Times New Roman"/>
          <w:i/>
          <w:sz w:val="24"/>
          <w:szCs w:val="24"/>
        </w:rPr>
        <w:t xml:space="preserve"> </w:t>
      </w:r>
      <w:r>
        <w:rPr>
          <w:rFonts w:ascii="Times New Roman" w:hAnsi="Times New Roman" w:cs="Times New Roman"/>
          <w:i/>
          <w:sz w:val="24"/>
          <w:szCs w:val="24"/>
        </w:rPr>
        <w:t>Earnings management and post-</w:t>
      </w:r>
      <w:r w:rsidRPr="00435F60">
        <w:rPr>
          <w:rFonts w:ascii="Times New Roman" w:hAnsi="Times New Roman" w:cs="Times New Roman"/>
          <w:i/>
          <w:sz w:val="24"/>
          <w:szCs w:val="24"/>
        </w:rPr>
        <w:t>SEO performance</w:t>
      </w:r>
    </w:p>
    <w:p w14:paraId="302836A6" w14:textId="65782941" w:rsidR="007C2B86" w:rsidRDefault="008B0EE7" w:rsidP="00157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test our hypotheses, we estimate Equations (1) to (4) using </w:t>
      </w:r>
      <w:r w:rsidR="007F0833">
        <w:rPr>
          <w:rFonts w:ascii="Times New Roman" w:hAnsi="Times New Roman" w:cs="Times New Roman"/>
          <w:sz w:val="24"/>
          <w:szCs w:val="24"/>
        </w:rPr>
        <w:t>OLS</w:t>
      </w:r>
      <w:r>
        <w:rPr>
          <w:rFonts w:ascii="Times New Roman" w:hAnsi="Times New Roman" w:cs="Times New Roman"/>
          <w:sz w:val="24"/>
          <w:szCs w:val="24"/>
        </w:rPr>
        <w:t xml:space="preserve">, and </w:t>
      </w:r>
      <w:r w:rsidR="007F0833">
        <w:rPr>
          <w:rFonts w:ascii="Times New Roman" w:hAnsi="Times New Roman" w:cs="Times New Roman"/>
          <w:sz w:val="24"/>
          <w:szCs w:val="24"/>
        </w:rPr>
        <w:t xml:space="preserve">we </w:t>
      </w:r>
      <w:r>
        <w:rPr>
          <w:rFonts w:ascii="Times New Roman" w:hAnsi="Times New Roman" w:cs="Times New Roman"/>
          <w:sz w:val="24"/>
          <w:szCs w:val="24"/>
        </w:rPr>
        <w:t xml:space="preserve">report the results in Table </w:t>
      </w:r>
      <w:r w:rsidR="004E7C10">
        <w:rPr>
          <w:rFonts w:ascii="Times New Roman" w:hAnsi="Times New Roman" w:cs="Times New Roman"/>
          <w:sz w:val="24"/>
          <w:szCs w:val="24"/>
        </w:rPr>
        <w:t>6</w:t>
      </w:r>
      <w:r>
        <w:rPr>
          <w:rFonts w:ascii="Times New Roman" w:hAnsi="Times New Roman" w:cs="Times New Roman"/>
          <w:sz w:val="24"/>
          <w:szCs w:val="24"/>
        </w:rPr>
        <w:t>. Columns (1) to (4) present the results of regression Equations (1) to (4)</w:t>
      </w:r>
      <w:r w:rsidR="00243D75">
        <w:rPr>
          <w:rFonts w:ascii="Times New Roman" w:hAnsi="Times New Roman" w:cs="Times New Roman"/>
          <w:sz w:val="24"/>
          <w:szCs w:val="24"/>
        </w:rPr>
        <w:t>,</w:t>
      </w:r>
      <w:r>
        <w:rPr>
          <w:rFonts w:ascii="Times New Roman" w:hAnsi="Times New Roman" w:cs="Times New Roman"/>
          <w:sz w:val="24"/>
          <w:szCs w:val="24"/>
        </w:rPr>
        <w:t xml:space="preserve"> respectively. In Column (1), the coefficient on </w:t>
      </w:r>
      <w:r w:rsidRPr="001578CB">
        <w:rPr>
          <w:rFonts w:ascii="Times New Roman" w:hAnsi="Times New Roman" w:cs="Times New Roman"/>
          <w:i/>
          <w:iCs/>
          <w:sz w:val="24"/>
          <w:szCs w:val="24"/>
        </w:rPr>
        <w:t>AEM</w:t>
      </w:r>
      <w:r>
        <w:rPr>
          <w:rFonts w:ascii="Times New Roman" w:hAnsi="Times New Roman" w:cs="Times New Roman"/>
          <w:sz w:val="24"/>
          <w:szCs w:val="24"/>
        </w:rPr>
        <w:t xml:space="preserve"> is -0.028</w:t>
      </w:r>
      <w:r w:rsidR="00507B46">
        <w:rPr>
          <w:rFonts w:ascii="Times New Roman" w:hAnsi="Times New Roman" w:cs="Times New Roman"/>
          <w:sz w:val="24"/>
          <w:szCs w:val="24"/>
        </w:rPr>
        <w:t>2</w:t>
      </w:r>
      <w:r>
        <w:rPr>
          <w:rFonts w:ascii="Times New Roman" w:hAnsi="Times New Roman" w:cs="Times New Roman"/>
          <w:sz w:val="24"/>
          <w:szCs w:val="24"/>
        </w:rPr>
        <w:t xml:space="preserve"> (</w:t>
      </w:r>
      <w:r w:rsidRPr="001578CB">
        <w:rPr>
          <w:rFonts w:ascii="Times New Roman" w:hAnsi="Times New Roman" w:cs="Times New Roman"/>
          <w:i/>
          <w:iCs/>
          <w:sz w:val="24"/>
          <w:szCs w:val="24"/>
        </w:rPr>
        <w:t>t</w:t>
      </w:r>
      <w:r>
        <w:rPr>
          <w:rFonts w:ascii="Times New Roman" w:hAnsi="Times New Roman" w:cs="Times New Roman"/>
          <w:sz w:val="24"/>
          <w:szCs w:val="24"/>
        </w:rPr>
        <w:t>-statistic = -5.</w:t>
      </w:r>
      <w:r w:rsidR="00507B46">
        <w:rPr>
          <w:rFonts w:ascii="Times New Roman" w:hAnsi="Times New Roman" w:cs="Times New Roman"/>
          <w:sz w:val="24"/>
          <w:szCs w:val="24"/>
        </w:rPr>
        <w:t>4843</w:t>
      </w:r>
      <w:r>
        <w:rPr>
          <w:rFonts w:ascii="Times New Roman" w:hAnsi="Times New Roman" w:cs="Times New Roman"/>
          <w:sz w:val="24"/>
          <w:szCs w:val="24"/>
        </w:rPr>
        <w:t xml:space="preserve">) and that on </w:t>
      </w:r>
      <w:r w:rsidRPr="001578CB">
        <w:rPr>
          <w:rFonts w:ascii="Times New Roman" w:hAnsi="Times New Roman" w:cs="Times New Roman"/>
          <w:i/>
          <w:iCs/>
          <w:sz w:val="24"/>
          <w:szCs w:val="24"/>
        </w:rPr>
        <w:t>RAM</w:t>
      </w:r>
      <w:r>
        <w:rPr>
          <w:rFonts w:ascii="Times New Roman" w:hAnsi="Times New Roman" w:cs="Times New Roman"/>
          <w:sz w:val="24"/>
          <w:szCs w:val="24"/>
        </w:rPr>
        <w:t xml:space="preserve"> is -0.10</w:t>
      </w:r>
      <w:r w:rsidR="00DB3859">
        <w:rPr>
          <w:rFonts w:ascii="Times New Roman" w:hAnsi="Times New Roman" w:cs="Times New Roman"/>
          <w:sz w:val="24"/>
          <w:szCs w:val="24"/>
        </w:rPr>
        <w:t>11</w:t>
      </w:r>
      <w:r>
        <w:rPr>
          <w:rFonts w:ascii="Times New Roman" w:hAnsi="Times New Roman" w:cs="Times New Roman"/>
          <w:sz w:val="24"/>
          <w:szCs w:val="24"/>
        </w:rPr>
        <w:t xml:space="preserve"> (</w:t>
      </w:r>
      <w:r w:rsidRPr="001578CB">
        <w:rPr>
          <w:rFonts w:ascii="Times New Roman" w:hAnsi="Times New Roman" w:cs="Times New Roman"/>
          <w:i/>
          <w:iCs/>
          <w:sz w:val="24"/>
          <w:szCs w:val="24"/>
        </w:rPr>
        <w:t>t</w:t>
      </w:r>
      <w:r>
        <w:rPr>
          <w:rFonts w:ascii="Times New Roman" w:hAnsi="Times New Roman" w:cs="Times New Roman"/>
          <w:sz w:val="24"/>
          <w:szCs w:val="24"/>
        </w:rPr>
        <w:t>-statistic = -19.</w:t>
      </w:r>
      <w:r w:rsidR="00FE22FB">
        <w:rPr>
          <w:rFonts w:ascii="Times New Roman" w:hAnsi="Times New Roman" w:cs="Times New Roman"/>
          <w:sz w:val="24"/>
          <w:szCs w:val="24"/>
        </w:rPr>
        <w:t>3345</w:t>
      </w:r>
      <w:r>
        <w:rPr>
          <w:rFonts w:ascii="Times New Roman" w:hAnsi="Times New Roman" w:cs="Times New Roman"/>
          <w:sz w:val="24"/>
          <w:szCs w:val="24"/>
        </w:rPr>
        <w:t xml:space="preserve">), both </w:t>
      </w:r>
      <w:r w:rsidR="0043757C">
        <w:rPr>
          <w:rFonts w:ascii="Times New Roman" w:hAnsi="Times New Roman" w:cs="Times New Roman"/>
          <w:sz w:val="24"/>
          <w:szCs w:val="24"/>
        </w:rPr>
        <w:t xml:space="preserve">are negative and </w:t>
      </w:r>
      <w:r>
        <w:rPr>
          <w:rFonts w:ascii="Times New Roman" w:hAnsi="Times New Roman" w:cs="Times New Roman"/>
          <w:sz w:val="24"/>
          <w:szCs w:val="24"/>
        </w:rPr>
        <w:t xml:space="preserve">statistically significant at the 1% level. This </w:t>
      </w:r>
      <w:r w:rsidR="0020238F">
        <w:rPr>
          <w:rFonts w:ascii="Times New Roman" w:hAnsi="Times New Roman" w:cs="Times New Roman"/>
          <w:sz w:val="24"/>
          <w:szCs w:val="24"/>
        </w:rPr>
        <w:t xml:space="preserve">suggests </w:t>
      </w:r>
      <w:r>
        <w:rPr>
          <w:rFonts w:ascii="Times New Roman" w:hAnsi="Times New Roman" w:cs="Times New Roman"/>
          <w:sz w:val="24"/>
          <w:szCs w:val="24"/>
        </w:rPr>
        <w:t xml:space="preserve">that both </w:t>
      </w:r>
      <w:r w:rsidRPr="001578CB">
        <w:rPr>
          <w:rFonts w:ascii="Times New Roman" w:hAnsi="Times New Roman" w:cs="Times New Roman"/>
          <w:i/>
          <w:iCs/>
          <w:sz w:val="24"/>
          <w:szCs w:val="24"/>
        </w:rPr>
        <w:t>AEM</w:t>
      </w:r>
      <w:r>
        <w:rPr>
          <w:rFonts w:ascii="Times New Roman" w:hAnsi="Times New Roman" w:cs="Times New Roman"/>
          <w:sz w:val="24"/>
          <w:szCs w:val="24"/>
        </w:rPr>
        <w:t xml:space="preserve"> and </w:t>
      </w:r>
      <w:r w:rsidRPr="001578CB">
        <w:rPr>
          <w:rFonts w:ascii="Times New Roman" w:hAnsi="Times New Roman" w:cs="Times New Roman"/>
          <w:i/>
          <w:iCs/>
          <w:sz w:val="24"/>
          <w:szCs w:val="24"/>
        </w:rPr>
        <w:t>RAM</w:t>
      </w:r>
      <w:r>
        <w:rPr>
          <w:rFonts w:ascii="Times New Roman" w:hAnsi="Times New Roman" w:cs="Times New Roman"/>
          <w:sz w:val="24"/>
          <w:szCs w:val="24"/>
        </w:rPr>
        <w:t xml:space="preserve"> </w:t>
      </w:r>
      <w:r w:rsidR="00525670">
        <w:rPr>
          <w:rFonts w:ascii="Times New Roman" w:hAnsi="Times New Roman" w:cs="Times New Roman"/>
          <w:sz w:val="24"/>
          <w:szCs w:val="24"/>
        </w:rPr>
        <w:t xml:space="preserve">contribute to </w:t>
      </w:r>
      <w:r w:rsidR="00FC7CA0">
        <w:rPr>
          <w:rFonts w:ascii="Times New Roman" w:hAnsi="Times New Roman" w:cs="Times New Roman"/>
          <w:sz w:val="24"/>
          <w:szCs w:val="24"/>
        </w:rPr>
        <w:t xml:space="preserve">a </w:t>
      </w:r>
      <w:r w:rsidR="00525670">
        <w:rPr>
          <w:rFonts w:ascii="Times New Roman" w:hAnsi="Times New Roman" w:cs="Times New Roman"/>
          <w:sz w:val="24"/>
          <w:szCs w:val="24"/>
        </w:rPr>
        <w:t xml:space="preserve">decrease in </w:t>
      </w:r>
      <w:r>
        <w:rPr>
          <w:rFonts w:ascii="Times New Roman" w:hAnsi="Times New Roman" w:cs="Times New Roman"/>
          <w:sz w:val="24"/>
          <w:szCs w:val="24"/>
        </w:rPr>
        <w:t xml:space="preserve">post-SEO performance when both types of earnings management co-exist. Further, we </w:t>
      </w:r>
      <w:r w:rsidR="009D54D2">
        <w:rPr>
          <w:rFonts w:ascii="Times New Roman" w:hAnsi="Times New Roman" w:cs="Times New Roman"/>
          <w:sz w:val="24"/>
          <w:szCs w:val="24"/>
        </w:rPr>
        <w:t xml:space="preserve">follow </w:t>
      </w:r>
      <w:r w:rsidR="00154343">
        <w:rPr>
          <w:rFonts w:ascii="Times New Roman" w:hAnsi="Times New Roman" w:cs="Times New Roman"/>
          <w:sz w:val="24"/>
          <w:szCs w:val="24"/>
        </w:rPr>
        <w:t xml:space="preserve">the approach by </w:t>
      </w:r>
      <w:r w:rsidR="009D54D2">
        <w:rPr>
          <w:rFonts w:ascii="Times New Roman" w:hAnsi="Times New Roman" w:cs="Times New Roman"/>
          <w:sz w:val="24"/>
          <w:szCs w:val="24"/>
        </w:rPr>
        <w:t xml:space="preserve">Choi et al. </w:t>
      </w:r>
      <w:r w:rsidR="00154343">
        <w:rPr>
          <w:rFonts w:ascii="Times New Roman" w:hAnsi="Times New Roman" w:cs="Times New Roman"/>
          <w:sz w:val="24"/>
          <w:szCs w:val="24"/>
        </w:rPr>
        <w:t xml:space="preserve">(2021) to </w:t>
      </w:r>
      <w:r>
        <w:rPr>
          <w:rFonts w:ascii="Times New Roman" w:hAnsi="Times New Roman" w:cs="Times New Roman"/>
          <w:sz w:val="24"/>
          <w:szCs w:val="24"/>
        </w:rPr>
        <w:t xml:space="preserve">compare the coefficients of </w:t>
      </w:r>
      <w:r w:rsidRPr="001578CB">
        <w:rPr>
          <w:rFonts w:ascii="Times New Roman" w:hAnsi="Times New Roman" w:cs="Times New Roman"/>
          <w:i/>
          <w:iCs/>
          <w:sz w:val="24"/>
          <w:szCs w:val="24"/>
        </w:rPr>
        <w:t>AEM</w:t>
      </w:r>
      <w:r>
        <w:rPr>
          <w:rFonts w:ascii="Times New Roman" w:hAnsi="Times New Roman" w:cs="Times New Roman"/>
          <w:sz w:val="24"/>
          <w:szCs w:val="24"/>
        </w:rPr>
        <w:t xml:space="preserve"> and </w:t>
      </w:r>
      <w:r w:rsidRPr="001578CB">
        <w:rPr>
          <w:rFonts w:ascii="Times New Roman" w:hAnsi="Times New Roman" w:cs="Times New Roman"/>
          <w:i/>
          <w:iCs/>
          <w:sz w:val="24"/>
          <w:szCs w:val="24"/>
        </w:rPr>
        <w:t>RAM</w:t>
      </w:r>
      <w:r>
        <w:rPr>
          <w:rFonts w:ascii="Times New Roman" w:hAnsi="Times New Roman" w:cs="Times New Roman"/>
          <w:sz w:val="24"/>
          <w:szCs w:val="24"/>
        </w:rPr>
        <w:t xml:space="preserve"> to determine their relative impact on post-SEO performance</w:t>
      </w:r>
      <w:r w:rsidR="00D97279">
        <w:rPr>
          <w:rFonts w:ascii="Times New Roman" w:hAnsi="Times New Roman" w:cs="Times New Roman"/>
          <w:sz w:val="24"/>
          <w:szCs w:val="24"/>
        </w:rPr>
        <w:t xml:space="preserve"> using</w:t>
      </w:r>
      <w:r w:rsidR="008C2AFE">
        <w:rPr>
          <w:rFonts w:ascii="Times New Roman" w:hAnsi="Times New Roman" w:cs="Times New Roman"/>
          <w:sz w:val="24"/>
          <w:szCs w:val="24"/>
        </w:rPr>
        <w:t xml:space="preserve"> an</w:t>
      </w:r>
      <w:r w:rsidR="00D97279">
        <w:rPr>
          <w:rFonts w:ascii="Times New Roman" w:hAnsi="Times New Roman" w:cs="Times New Roman"/>
          <w:sz w:val="24"/>
          <w:szCs w:val="24"/>
        </w:rPr>
        <w:t xml:space="preserve"> </w:t>
      </w:r>
      <w:r w:rsidR="00D97279" w:rsidRPr="001578CB">
        <w:rPr>
          <w:rFonts w:ascii="Times New Roman" w:hAnsi="Times New Roman" w:cs="Times New Roman"/>
          <w:i/>
          <w:iCs/>
          <w:sz w:val="24"/>
          <w:szCs w:val="24"/>
        </w:rPr>
        <w:t>F</w:t>
      </w:r>
      <w:r w:rsidR="00D97279">
        <w:rPr>
          <w:rFonts w:ascii="Times New Roman" w:hAnsi="Times New Roman" w:cs="Times New Roman"/>
          <w:sz w:val="24"/>
          <w:szCs w:val="24"/>
        </w:rPr>
        <w:t>-test</w:t>
      </w:r>
      <w:r>
        <w:rPr>
          <w:rFonts w:ascii="Times New Roman" w:hAnsi="Times New Roman" w:cs="Times New Roman"/>
          <w:sz w:val="24"/>
          <w:szCs w:val="24"/>
        </w:rPr>
        <w:t>.</w:t>
      </w:r>
      <w:r w:rsidR="00D97279">
        <w:rPr>
          <w:rFonts w:ascii="Times New Roman" w:hAnsi="Times New Roman" w:cs="Times New Roman"/>
          <w:sz w:val="24"/>
          <w:szCs w:val="24"/>
        </w:rPr>
        <w:t xml:space="preserve"> </w:t>
      </w:r>
      <w:r w:rsidR="006222F9">
        <w:rPr>
          <w:rFonts w:ascii="Times New Roman" w:hAnsi="Times New Roman" w:cs="Times New Roman"/>
          <w:sz w:val="24"/>
          <w:szCs w:val="24"/>
        </w:rPr>
        <w:t xml:space="preserve">The coefficient on </w:t>
      </w:r>
      <w:r w:rsidR="006222F9" w:rsidRPr="001578CB">
        <w:rPr>
          <w:rFonts w:ascii="Times New Roman" w:hAnsi="Times New Roman" w:cs="Times New Roman"/>
          <w:i/>
          <w:iCs/>
          <w:sz w:val="24"/>
          <w:szCs w:val="24"/>
        </w:rPr>
        <w:t>RAM</w:t>
      </w:r>
      <w:r w:rsidR="006222F9">
        <w:rPr>
          <w:rFonts w:ascii="Times New Roman" w:hAnsi="Times New Roman" w:cs="Times New Roman"/>
          <w:sz w:val="24"/>
          <w:szCs w:val="24"/>
        </w:rPr>
        <w:t xml:space="preserve"> is larger than that on </w:t>
      </w:r>
      <w:r w:rsidR="006222F9" w:rsidRPr="001578CB">
        <w:rPr>
          <w:rFonts w:ascii="Times New Roman" w:hAnsi="Times New Roman" w:cs="Times New Roman"/>
          <w:i/>
          <w:iCs/>
          <w:sz w:val="24"/>
          <w:szCs w:val="24"/>
        </w:rPr>
        <w:t>AEM</w:t>
      </w:r>
      <w:r w:rsidR="006222F9">
        <w:rPr>
          <w:rFonts w:ascii="Times New Roman" w:hAnsi="Times New Roman" w:cs="Times New Roman"/>
          <w:sz w:val="24"/>
          <w:szCs w:val="24"/>
        </w:rPr>
        <w:t xml:space="preserve"> and we find that </w:t>
      </w:r>
      <w:r>
        <w:rPr>
          <w:rFonts w:ascii="Times New Roman" w:hAnsi="Times New Roman" w:cs="Times New Roman"/>
          <w:sz w:val="24"/>
          <w:szCs w:val="24"/>
        </w:rPr>
        <w:t xml:space="preserve">the difference </w:t>
      </w:r>
      <w:r w:rsidR="00AB0072">
        <w:rPr>
          <w:rFonts w:ascii="Times New Roman" w:hAnsi="Times New Roman" w:cs="Times New Roman"/>
          <w:sz w:val="24"/>
          <w:szCs w:val="24"/>
        </w:rPr>
        <w:t xml:space="preserve">between the coefficients </w:t>
      </w:r>
      <w:r>
        <w:rPr>
          <w:rFonts w:ascii="Times New Roman" w:hAnsi="Times New Roman" w:cs="Times New Roman"/>
          <w:sz w:val="24"/>
          <w:szCs w:val="24"/>
        </w:rPr>
        <w:t>is statistically significant at the 1% level (</w:t>
      </w:r>
      <w:r w:rsidRPr="001578CB">
        <w:rPr>
          <w:rFonts w:ascii="Times New Roman" w:hAnsi="Times New Roman" w:cs="Times New Roman"/>
          <w:i/>
          <w:iCs/>
          <w:sz w:val="24"/>
          <w:szCs w:val="24"/>
        </w:rPr>
        <w:t>F</w:t>
      </w:r>
      <w:r>
        <w:rPr>
          <w:rFonts w:ascii="Times New Roman" w:hAnsi="Times New Roman" w:cs="Times New Roman"/>
          <w:sz w:val="24"/>
          <w:szCs w:val="24"/>
        </w:rPr>
        <w:t xml:space="preserve">-statistic = </w:t>
      </w:r>
      <w:r w:rsidR="00E03A58">
        <w:rPr>
          <w:rFonts w:ascii="Times New Roman" w:hAnsi="Times New Roman" w:cs="Times New Roman"/>
          <w:sz w:val="24"/>
          <w:szCs w:val="24"/>
        </w:rPr>
        <w:t>99</w:t>
      </w:r>
      <w:r>
        <w:rPr>
          <w:rFonts w:ascii="Times New Roman" w:hAnsi="Times New Roman" w:cs="Times New Roman"/>
          <w:sz w:val="24"/>
          <w:szCs w:val="24"/>
        </w:rPr>
        <w:t>.</w:t>
      </w:r>
      <w:r w:rsidR="00E03A58">
        <w:rPr>
          <w:rFonts w:ascii="Times New Roman" w:hAnsi="Times New Roman" w:cs="Times New Roman"/>
          <w:sz w:val="24"/>
          <w:szCs w:val="24"/>
        </w:rPr>
        <w:t>38</w:t>
      </w:r>
      <w:r>
        <w:rPr>
          <w:rFonts w:ascii="Times New Roman" w:hAnsi="Times New Roman" w:cs="Times New Roman"/>
          <w:sz w:val="24"/>
          <w:szCs w:val="24"/>
        </w:rPr>
        <w:t xml:space="preserve">), suggesting that </w:t>
      </w:r>
      <w:r w:rsidRPr="001578CB">
        <w:rPr>
          <w:rFonts w:ascii="Times New Roman" w:hAnsi="Times New Roman" w:cs="Times New Roman"/>
          <w:i/>
          <w:iCs/>
          <w:sz w:val="24"/>
          <w:szCs w:val="24"/>
        </w:rPr>
        <w:t>RAM</w:t>
      </w:r>
      <w:r>
        <w:rPr>
          <w:rFonts w:ascii="Times New Roman" w:hAnsi="Times New Roman" w:cs="Times New Roman"/>
          <w:sz w:val="24"/>
          <w:szCs w:val="24"/>
        </w:rPr>
        <w:t xml:space="preserve"> has a greater impact on </w:t>
      </w:r>
      <w:r w:rsidR="00237BE2">
        <w:rPr>
          <w:rFonts w:ascii="Times New Roman" w:hAnsi="Times New Roman" w:cs="Times New Roman"/>
          <w:sz w:val="24"/>
          <w:szCs w:val="24"/>
        </w:rPr>
        <w:t>post</w:t>
      </w:r>
      <w:r w:rsidR="00364064">
        <w:rPr>
          <w:rFonts w:ascii="Times New Roman" w:hAnsi="Times New Roman" w:cs="Times New Roman"/>
          <w:sz w:val="24"/>
          <w:szCs w:val="24"/>
        </w:rPr>
        <w:t>-</w:t>
      </w:r>
      <w:r>
        <w:rPr>
          <w:rFonts w:ascii="Times New Roman" w:hAnsi="Times New Roman" w:cs="Times New Roman"/>
          <w:sz w:val="24"/>
          <w:szCs w:val="24"/>
        </w:rPr>
        <w:t xml:space="preserve">SEO performance than </w:t>
      </w:r>
      <w:r w:rsidR="00364064">
        <w:rPr>
          <w:rFonts w:ascii="Times New Roman" w:hAnsi="Times New Roman" w:cs="Times New Roman"/>
          <w:sz w:val="24"/>
          <w:szCs w:val="24"/>
        </w:rPr>
        <w:t xml:space="preserve">does </w:t>
      </w:r>
      <w:r w:rsidRPr="001578CB">
        <w:rPr>
          <w:rFonts w:ascii="Times New Roman" w:hAnsi="Times New Roman" w:cs="Times New Roman"/>
          <w:i/>
          <w:iCs/>
          <w:sz w:val="24"/>
          <w:szCs w:val="24"/>
        </w:rPr>
        <w:t>AEM</w:t>
      </w:r>
      <w:r>
        <w:rPr>
          <w:rFonts w:ascii="Times New Roman" w:hAnsi="Times New Roman" w:cs="Times New Roman"/>
          <w:sz w:val="24"/>
          <w:szCs w:val="24"/>
        </w:rPr>
        <w:t xml:space="preserve">. In economic terms, the coefficient on </w:t>
      </w:r>
      <w:r w:rsidRPr="00531470">
        <w:rPr>
          <w:rFonts w:ascii="Times New Roman" w:hAnsi="Times New Roman" w:cs="Times New Roman"/>
          <w:i/>
          <w:iCs/>
          <w:sz w:val="24"/>
          <w:szCs w:val="24"/>
        </w:rPr>
        <w:t>AEM</w:t>
      </w:r>
      <w:r>
        <w:rPr>
          <w:rFonts w:ascii="Times New Roman" w:hAnsi="Times New Roman" w:cs="Times New Roman"/>
          <w:sz w:val="24"/>
          <w:szCs w:val="24"/>
        </w:rPr>
        <w:t xml:space="preserve"> is -0.028</w:t>
      </w:r>
      <w:r w:rsidR="00EC2346">
        <w:rPr>
          <w:rFonts w:ascii="Times New Roman" w:hAnsi="Times New Roman" w:cs="Times New Roman"/>
          <w:sz w:val="24"/>
          <w:szCs w:val="24"/>
        </w:rPr>
        <w:t>2</w:t>
      </w:r>
      <w:r>
        <w:rPr>
          <w:rFonts w:ascii="Times New Roman" w:hAnsi="Times New Roman" w:cs="Times New Roman"/>
          <w:sz w:val="24"/>
          <w:szCs w:val="24"/>
        </w:rPr>
        <w:t xml:space="preserve"> and the standard deviation </w:t>
      </w:r>
      <w:r w:rsidR="00FC7CA0">
        <w:rPr>
          <w:rFonts w:ascii="Times New Roman" w:hAnsi="Times New Roman" w:cs="Times New Roman"/>
          <w:sz w:val="24"/>
          <w:szCs w:val="24"/>
        </w:rPr>
        <w:t xml:space="preserve">is </w:t>
      </w:r>
      <w:r>
        <w:rPr>
          <w:rFonts w:ascii="Times New Roman" w:hAnsi="Times New Roman" w:cs="Times New Roman"/>
          <w:sz w:val="24"/>
          <w:szCs w:val="24"/>
        </w:rPr>
        <w:t>0.137</w:t>
      </w:r>
      <w:r w:rsidR="00EC2346">
        <w:rPr>
          <w:rFonts w:ascii="Times New Roman" w:hAnsi="Times New Roman" w:cs="Times New Roman"/>
          <w:sz w:val="24"/>
          <w:szCs w:val="24"/>
        </w:rPr>
        <w:t>1</w:t>
      </w:r>
      <w:r>
        <w:rPr>
          <w:rFonts w:ascii="Times New Roman" w:hAnsi="Times New Roman" w:cs="Times New Roman"/>
          <w:sz w:val="24"/>
          <w:szCs w:val="24"/>
        </w:rPr>
        <w:t xml:space="preserve"> (Table </w:t>
      </w:r>
      <w:r w:rsidR="00EC2346">
        <w:rPr>
          <w:rFonts w:ascii="Times New Roman" w:hAnsi="Times New Roman" w:cs="Times New Roman"/>
          <w:sz w:val="24"/>
          <w:szCs w:val="24"/>
        </w:rPr>
        <w:t>4</w:t>
      </w:r>
      <w:r>
        <w:rPr>
          <w:rFonts w:ascii="Times New Roman" w:hAnsi="Times New Roman" w:cs="Times New Roman"/>
          <w:sz w:val="24"/>
          <w:szCs w:val="24"/>
        </w:rPr>
        <w:t>),</w:t>
      </w:r>
      <w:r w:rsidRPr="0030500F">
        <w:rPr>
          <w:rFonts w:ascii="Times New Roman" w:hAnsi="Times New Roman" w:cs="Times New Roman"/>
          <w:sz w:val="24"/>
          <w:szCs w:val="24"/>
        </w:rPr>
        <w:t xml:space="preserve"> </w:t>
      </w:r>
      <w:r>
        <w:rPr>
          <w:rFonts w:ascii="Times New Roman" w:hAnsi="Times New Roman" w:cs="Times New Roman"/>
          <w:sz w:val="24"/>
          <w:szCs w:val="24"/>
        </w:rPr>
        <w:t xml:space="preserve">implying that a one-standard-deviation increase in </w:t>
      </w:r>
      <w:r w:rsidRPr="00531470">
        <w:rPr>
          <w:rFonts w:ascii="Times New Roman" w:hAnsi="Times New Roman" w:cs="Times New Roman"/>
          <w:i/>
          <w:iCs/>
          <w:sz w:val="24"/>
          <w:szCs w:val="24"/>
        </w:rPr>
        <w:t>AEM</w:t>
      </w:r>
      <w:r>
        <w:rPr>
          <w:rFonts w:ascii="Times New Roman" w:hAnsi="Times New Roman" w:cs="Times New Roman"/>
          <w:sz w:val="24"/>
          <w:szCs w:val="24"/>
        </w:rPr>
        <w:t xml:space="preserve"> is associated with a -0.</w:t>
      </w:r>
      <w:r w:rsidR="00FF38CF">
        <w:rPr>
          <w:rFonts w:ascii="Times New Roman" w:hAnsi="Times New Roman" w:cs="Times New Roman"/>
          <w:sz w:val="24"/>
          <w:szCs w:val="24"/>
        </w:rPr>
        <w:t>39</w:t>
      </w:r>
      <w:r>
        <w:rPr>
          <w:rFonts w:ascii="Times New Roman" w:hAnsi="Times New Roman" w:cs="Times New Roman"/>
          <w:sz w:val="24"/>
          <w:szCs w:val="24"/>
        </w:rPr>
        <w:t xml:space="preserve">% decrease in post-SEO performance. The coefficient on </w:t>
      </w:r>
      <w:r w:rsidRPr="00531470">
        <w:rPr>
          <w:rFonts w:ascii="Times New Roman" w:hAnsi="Times New Roman" w:cs="Times New Roman"/>
          <w:i/>
          <w:iCs/>
          <w:sz w:val="24"/>
          <w:szCs w:val="24"/>
        </w:rPr>
        <w:t>RAM</w:t>
      </w:r>
      <w:r>
        <w:rPr>
          <w:rFonts w:ascii="Times New Roman" w:hAnsi="Times New Roman" w:cs="Times New Roman"/>
          <w:sz w:val="24"/>
          <w:szCs w:val="24"/>
        </w:rPr>
        <w:t xml:space="preserve"> is -0.10</w:t>
      </w:r>
      <w:r w:rsidR="00673D85">
        <w:rPr>
          <w:rFonts w:ascii="Times New Roman" w:hAnsi="Times New Roman" w:cs="Times New Roman"/>
          <w:sz w:val="24"/>
          <w:szCs w:val="24"/>
        </w:rPr>
        <w:t>11</w:t>
      </w:r>
      <w:r>
        <w:rPr>
          <w:rFonts w:ascii="Times New Roman" w:hAnsi="Times New Roman" w:cs="Times New Roman"/>
          <w:sz w:val="24"/>
          <w:szCs w:val="24"/>
        </w:rPr>
        <w:t xml:space="preserve"> and the standard deviation is 0.260</w:t>
      </w:r>
      <w:r w:rsidR="006D342B">
        <w:rPr>
          <w:rFonts w:ascii="Times New Roman" w:hAnsi="Times New Roman" w:cs="Times New Roman"/>
          <w:sz w:val="24"/>
          <w:szCs w:val="24"/>
        </w:rPr>
        <w:t>4</w:t>
      </w:r>
      <w:r>
        <w:rPr>
          <w:rFonts w:ascii="Times New Roman" w:hAnsi="Times New Roman" w:cs="Times New Roman"/>
          <w:sz w:val="24"/>
          <w:szCs w:val="24"/>
        </w:rPr>
        <w:t xml:space="preserve">, implying that a one-standard-deviation </w:t>
      </w:r>
      <w:r>
        <w:rPr>
          <w:rFonts w:ascii="Times New Roman" w:hAnsi="Times New Roman" w:cs="Times New Roman"/>
          <w:sz w:val="24"/>
          <w:szCs w:val="24"/>
        </w:rPr>
        <w:lastRenderedPageBreak/>
        <w:t xml:space="preserve">increase in </w:t>
      </w:r>
      <w:r w:rsidRPr="00531470">
        <w:rPr>
          <w:rFonts w:ascii="Times New Roman" w:hAnsi="Times New Roman" w:cs="Times New Roman"/>
          <w:i/>
          <w:iCs/>
          <w:sz w:val="24"/>
          <w:szCs w:val="24"/>
        </w:rPr>
        <w:t>RAM</w:t>
      </w:r>
      <w:r>
        <w:rPr>
          <w:rFonts w:ascii="Times New Roman" w:hAnsi="Times New Roman" w:cs="Times New Roman"/>
          <w:sz w:val="24"/>
          <w:szCs w:val="24"/>
        </w:rPr>
        <w:t xml:space="preserve"> is associated with a -2.</w:t>
      </w:r>
      <w:r w:rsidR="00606CD6">
        <w:rPr>
          <w:rFonts w:ascii="Times New Roman" w:hAnsi="Times New Roman" w:cs="Times New Roman"/>
          <w:sz w:val="24"/>
          <w:szCs w:val="24"/>
        </w:rPr>
        <w:t>63</w:t>
      </w:r>
      <w:r>
        <w:rPr>
          <w:rFonts w:ascii="Times New Roman" w:hAnsi="Times New Roman" w:cs="Times New Roman"/>
          <w:sz w:val="24"/>
          <w:szCs w:val="24"/>
        </w:rPr>
        <w:t>% decrease in post-SEO performance and is greater than the mean value of 1.</w:t>
      </w:r>
      <w:r w:rsidR="009F2A9C">
        <w:rPr>
          <w:rFonts w:ascii="Times New Roman" w:hAnsi="Times New Roman" w:cs="Times New Roman"/>
          <w:sz w:val="24"/>
          <w:szCs w:val="24"/>
        </w:rPr>
        <w:t>20</w:t>
      </w:r>
      <w:r>
        <w:rPr>
          <w:rFonts w:ascii="Times New Roman" w:hAnsi="Times New Roman" w:cs="Times New Roman"/>
          <w:sz w:val="24"/>
          <w:szCs w:val="24"/>
        </w:rPr>
        <w:t xml:space="preserve">% for SEOP. This suggests that </w:t>
      </w:r>
      <w:r w:rsidRPr="001578CB">
        <w:rPr>
          <w:rFonts w:ascii="Times New Roman" w:hAnsi="Times New Roman" w:cs="Times New Roman"/>
          <w:i/>
          <w:iCs/>
          <w:sz w:val="24"/>
          <w:szCs w:val="24"/>
        </w:rPr>
        <w:t>RAM</w:t>
      </w:r>
      <w:r>
        <w:rPr>
          <w:rFonts w:ascii="Times New Roman" w:hAnsi="Times New Roman" w:cs="Times New Roman"/>
          <w:sz w:val="24"/>
          <w:szCs w:val="24"/>
        </w:rPr>
        <w:t xml:space="preserve"> has </w:t>
      </w:r>
      <w:r w:rsidR="00434DD9">
        <w:rPr>
          <w:rFonts w:ascii="Times New Roman" w:hAnsi="Times New Roman" w:cs="Times New Roman"/>
          <w:sz w:val="24"/>
          <w:szCs w:val="24"/>
        </w:rPr>
        <w:t xml:space="preserve">a significantly stronger </w:t>
      </w:r>
      <w:r>
        <w:rPr>
          <w:rFonts w:ascii="Times New Roman" w:hAnsi="Times New Roman" w:cs="Times New Roman"/>
          <w:sz w:val="24"/>
          <w:szCs w:val="24"/>
        </w:rPr>
        <w:t xml:space="preserve">economic impact on post-SEO performance </w:t>
      </w:r>
      <w:r w:rsidR="001B6796">
        <w:rPr>
          <w:rFonts w:ascii="Times New Roman" w:hAnsi="Times New Roman" w:cs="Times New Roman"/>
          <w:sz w:val="24"/>
          <w:szCs w:val="24"/>
        </w:rPr>
        <w:t xml:space="preserve">in </w:t>
      </w:r>
      <w:r>
        <w:rPr>
          <w:rFonts w:ascii="Times New Roman" w:hAnsi="Times New Roman" w:cs="Times New Roman"/>
          <w:sz w:val="24"/>
          <w:szCs w:val="24"/>
        </w:rPr>
        <w:t xml:space="preserve">comparison with </w:t>
      </w:r>
      <w:r w:rsidRPr="001578CB">
        <w:rPr>
          <w:rFonts w:ascii="Times New Roman" w:hAnsi="Times New Roman" w:cs="Times New Roman"/>
          <w:i/>
          <w:iCs/>
          <w:sz w:val="24"/>
          <w:szCs w:val="24"/>
        </w:rPr>
        <w:t>AEM</w:t>
      </w:r>
      <w:r>
        <w:rPr>
          <w:rFonts w:ascii="Times New Roman" w:hAnsi="Times New Roman" w:cs="Times New Roman"/>
          <w:sz w:val="24"/>
          <w:szCs w:val="24"/>
        </w:rPr>
        <w:t xml:space="preserve">. </w:t>
      </w:r>
      <w:r w:rsidR="009156A4">
        <w:rPr>
          <w:rFonts w:ascii="Times New Roman" w:hAnsi="Times New Roman" w:cs="Times New Roman"/>
          <w:sz w:val="24"/>
          <w:szCs w:val="24"/>
        </w:rPr>
        <w:t>We conclude</w:t>
      </w:r>
      <w:r w:rsidR="00747145">
        <w:rPr>
          <w:rFonts w:ascii="Times New Roman" w:hAnsi="Times New Roman" w:cs="Times New Roman"/>
          <w:sz w:val="24"/>
          <w:szCs w:val="24"/>
        </w:rPr>
        <w:t xml:space="preserve">, consistent with our H1, </w:t>
      </w:r>
      <w:r w:rsidR="009156A4">
        <w:rPr>
          <w:rFonts w:ascii="Times New Roman" w:hAnsi="Times New Roman" w:cs="Times New Roman"/>
          <w:sz w:val="24"/>
          <w:szCs w:val="24"/>
        </w:rPr>
        <w:t xml:space="preserve">that </w:t>
      </w:r>
      <w:r w:rsidR="004479B6" w:rsidRPr="001578CB">
        <w:rPr>
          <w:rFonts w:ascii="Times New Roman" w:hAnsi="Times New Roman" w:cs="Times New Roman"/>
          <w:i/>
          <w:iCs/>
          <w:sz w:val="24"/>
          <w:szCs w:val="24"/>
        </w:rPr>
        <w:t>RAM</w:t>
      </w:r>
      <w:r w:rsidR="004479B6">
        <w:rPr>
          <w:rFonts w:ascii="Times New Roman" w:hAnsi="Times New Roman" w:cs="Times New Roman"/>
          <w:sz w:val="24"/>
          <w:szCs w:val="24"/>
        </w:rPr>
        <w:t xml:space="preserve"> </w:t>
      </w:r>
      <w:r w:rsidR="004E1287">
        <w:rPr>
          <w:rFonts w:ascii="Times New Roman" w:hAnsi="Times New Roman" w:cs="Times New Roman"/>
          <w:sz w:val="24"/>
          <w:szCs w:val="24"/>
        </w:rPr>
        <w:t xml:space="preserve">has a greater negative impact on </w:t>
      </w:r>
      <w:r w:rsidR="004479B6">
        <w:rPr>
          <w:rFonts w:ascii="Times New Roman" w:hAnsi="Times New Roman" w:cs="Times New Roman"/>
          <w:sz w:val="24"/>
          <w:szCs w:val="24"/>
        </w:rPr>
        <w:t xml:space="preserve">post-SEO performance than </w:t>
      </w:r>
      <w:r w:rsidR="004E1287">
        <w:rPr>
          <w:rFonts w:ascii="Times New Roman" w:hAnsi="Times New Roman" w:cs="Times New Roman"/>
          <w:sz w:val="24"/>
          <w:szCs w:val="24"/>
        </w:rPr>
        <w:t xml:space="preserve">does </w:t>
      </w:r>
      <w:r w:rsidR="004479B6" w:rsidRPr="001578CB">
        <w:rPr>
          <w:rFonts w:ascii="Times New Roman" w:hAnsi="Times New Roman" w:cs="Times New Roman"/>
          <w:i/>
          <w:iCs/>
          <w:sz w:val="24"/>
          <w:szCs w:val="24"/>
        </w:rPr>
        <w:t>AEM</w:t>
      </w:r>
      <w:r w:rsidR="004479B6">
        <w:rPr>
          <w:rFonts w:ascii="Times New Roman" w:hAnsi="Times New Roman" w:cs="Times New Roman"/>
          <w:sz w:val="24"/>
          <w:szCs w:val="24"/>
        </w:rPr>
        <w:t xml:space="preserve">. </w:t>
      </w:r>
      <w:r>
        <w:rPr>
          <w:rFonts w:ascii="Times New Roman" w:hAnsi="Times New Roman" w:cs="Times New Roman"/>
          <w:sz w:val="24"/>
          <w:szCs w:val="24"/>
        </w:rPr>
        <w:t xml:space="preserve">In Column (2), the coefficient on </w:t>
      </w:r>
      <w:r w:rsidRPr="001578CB">
        <w:rPr>
          <w:rFonts w:ascii="Times New Roman" w:hAnsi="Times New Roman" w:cs="Times New Roman"/>
          <w:i/>
          <w:iCs/>
          <w:sz w:val="24"/>
          <w:szCs w:val="24"/>
        </w:rPr>
        <w:t>TAR</w:t>
      </w:r>
      <w:r>
        <w:rPr>
          <w:rFonts w:ascii="Times New Roman" w:hAnsi="Times New Roman" w:cs="Times New Roman"/>
          <w:sz w:val="24"/>
          <w:szCs w:val="24"/>
        </w:rPr>
        <w:t xml:space="preserve"> is -0.064</w:t>
      </w:r>
      <w:r w:rsidR="00B23966">
        <w:rPr>
          <w:rFonts w:ascii="Times New Roman" w:hAnsi="Times New Roman" w:cs="Times New Roman"/>
          <w:sz w:val="24"/>
          <w:szCs w:val="24"/>
        </w:rPr>
        <w:t>6</w:t>
      </w:r>
      <w:r>
        <w:rPr>
          <w:rFonts w:ascii="Times New Roman" w:hAnsi="Times New Roman" w:cs="Times New Roman"/>
          <w:sz w:val="24"/>
          <w:szCs w:val="24"/>
        </w:rPr>
        <w:t xml:space="preserve"> (</w:t>
      </w:r>
      <w:r w:rsidRPr="001578CB">
        <w:rPr>
          <w:rFonts w:ascii="Times New Roman" w:hAnsi="Times New Roman" w:cs="Times New Roman"/>
          <w:i/>
          <w:iCs/>
          <w:sz w:val="24"/>
          <w:szCs w:val="24"/>
        </w:rPr>
        <w:t>t</w:t>
      </w:r>
      <w:r>
        <w:rPr>
          <w:rFonts w:ascii="Times New Roman" w:hAnsi="Times New Roman" w:cs="Times New Roman"/>
          <w:sz w:val="24"/>
          <w:szCs w:val="24"/>
        </w:rPr>
        <w:t xml:space="preserve">-statistic = </w:t>
      </w:r>
      <w:r w:rsidR="0041113A">
        <w:rPr>
          <w:rFonts w:ascii="Times New Roman" w:hAnsi="Times New Roman" w:cs="Times New Roman"/>
          <w:sz w:val="24"/>
          <w:szCs w:val="24"/>
        </w:rPr>
        <w:t>-17.5389</w:t>
      </w:r>
      <w:r>
        <w:rPr>
          <w:rFonts w:ascii="Times New Roman" w:hAnsi="Times New Roman" w:cs="Times New Roman"/>
          <w:sz w:val="24"/>
          <w:szCs w:val="24"/>
        </w:rPr>
        <w:t xml:space="preserve">) and is statistically significant at the 1% level. This implies that </w:t>
      </w:r>
      <w:r w:rsidR="00641842">
        <w:rPr>
          <w:rFonts w:ascii="Times New Roman" w:hAnsi="Times New Roman" w:cs="Times New Roman"/>
          <w:sz w:val="24"/>
          <w:szCs w:val="24"/>
        </w:rPr>
        <w:t xml:space="preserve">the combination of </w:t>
      </w:r>
      <w:r>
        <w:rPr>
          <w:rFonts w:ascii="Times New Roman" w:hAnsi="Times New Roman" w:cs="Times New Roman"/>
          <w:sz w:val="24"/>
          <w:szCs w:val="24"/>
        </w:rPr>
        <w:t>earnings management practices ha</w:t>
      </w:r>
      <w:r w:rsidR="00287AC2">
        <w:rPr>
          <w:rFonts w:ascii="Times New Roman" w:hAnsi="Times New Roman" w:cs="Times New Roman"/>
          <w:sz w:val="24"/>
          <w:szCs w:val="24"/>
        </w:rPr>
        <w:t>s</w:t>
      </w:r>
      <w:r>
        <w:rPr>
          <w:rFonts w:ascii="Times New Roman" w:hAnsi="Times New Roman" w:cs="Times New Roman"/>
          <w:sz w:val="24"/>
          <w:szCs w:val="24"/>
        </w:rPr>
        <w:t xml:space="preserve"> a negative</w:t>
      </w:r>
      <w:r w:rsidR="00287AC2">
        <w:rPr>
          <w:rFonts w:ascii="Times New Roman" w:hAnsi="Times New Roman" w:cs="Times New Roman"/>
          <w:sz w:val="24"/>
          <w:szCs w:val="24"/>
        </w:rPr>
        <w:t xml:space="preserve"> impact</w:t>
      </w:r>
      <w:r>
        <w:rPr>
          <w:rFonts w:ascii="Times New Roman" w:hAnsi="Times New Roman" w:cs="Times New Roman"/>
          <w:sz w:val="24"/>
          <w:szCs w:val="24"/>
        </w:rPr>
        <w:t xml:space="preserve"> on post-SEO performance.</w:t>
      </w:r>
    </w:p>
    <w:p w14:paraId="5A60EEC6" w14:textId="26257C57" w:rsidR="008B0EE7"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The coefficients on the control variables reported are consistent across Columns (1) and (2) and are significant with the expected signs, except for AGE which is not significant. The control variables show that larger firms and firms with high investment have better post-SEO performance, whereas firms with high leverage</w:t>
      </w:r>
      <w:r w:rsidR="00DF0121">
        <w:rPr>
          <w:rFonts w:ascii="Times New Roman" w:hAnsi="Times New Roman" w:cs="Times New Roman"/>
          <w:sz w:val="24"/>
          <w:szCs w:val="24"/>
        </w:rPr>
        <w:t>,</w:t>
      </w:r>
      <w:r>
        <w:rPr>
          <w:rFonts w:ascii="Times New Roman" w:hAnsi="Times New Roman" w:cs="Times New Roman"/>
          <w:sz w:val="24"/>
          <w:szCs w:val="24"/>
        </w:rPr>
        <w:t xml:space="preserve"> more cash, and growth firms have worse post-SEO performance.</w:t>
      </w:r>
    </w:p>
    <w:p w14:paraId="53B508BB" w14:textId="6DBC0AE5" w:rsidR="008B0EE7" w:rsidRPr="003A487B" w:rsidRDefault="008B0EE7" w:rsidP="008B0EE7">
      <w:pPr>
        <w:spacing w:after="0" w:line="480" w:lineRule="auto"/>
        <w:jc w:val="both"/>
        <w:rPr>
          <w:rFonts w:ascii="Times New Roman" w:hAnsi="Times New Roman" w:cs="Times New Roman"/>
          <w:i/>
          <w:iCs/>
          <w:sz w:val="24"/>
          <w:szCs w:val="24"/>
        </w:rPr>
      </w:pPr>
      <w:r w:rsidRPr="003A487B">
        <w:rPr>
          <w:rFonts w:ascii="Times New Roman" w:hAnsi="Times New Roman" w:cs="Times New Roman"/>
          <w:i/>
          <w:iCs/>
          <w:sz w:val="24"/>
          <w:szCs w:val="24"/>
        </w:rPr>
        <w:t>4.</w:t>
      </w:r>
      <w:r w:rsidR="007F441F">
        <w:rPr>
          <w:rFonts w:ascii="Times New Roman" w:hAnsi="Times New Roman" w:cs="Times New Roman"/>
          <w:i/>
          <w:iCs/>
          <w:sz w:val="24"/>
          <w:szCs w:val="24"/>
        </w:rPr>
        <w:t>4</w:t>
      </w:r>
      <w:r w:rsidRPr="003A487B">
        <w:rPr>
          <w:rFonts w:ascii="Times New Roman" w:hAnsi="Times New Roman" w:cs="Times New Roman"/>
          <w:i/>
          <w:iCs/>
          <w:sz w:val="24"/>
          <w:szCs w:val="24"/>
        </w:rPr>
        <w:t xml:space="preserve">.2. </w:t>
      </w:r>
      <w:r>
        <w:rPr>
          <w:rFonts w:ascii="Times New Roman" w:hAnsi="Times New Roman" w:cs="Times New Roman"/>
          <w:i/>
          <w:iCs/>
          <w:sz w:val="24"/>
          <w:szCs w:val="24"/>
        </w:rPr>
        <w:t>E</w:t>
      </w:r>
      <w:r w:rsidRPr="003A487B">
        <w:rPr>
          <w:rFonts w:ascii="Times New Roman" w:hAnsi="Times New Roman" w:cs="Times New Roman"/>
          <w:i/>
          <w:iCs/>
          <w:sz w:val="24"/>
          <w:szCs w:val="24"/>
        </w:rPr>
        <w:t xml:space="preserve">arnings </w:t>
      </w:r>
      <w:r w:rsidRPr="00F03FF3">
        <w:rPr>
          <w:rFonts w:ascii="Times New Roman" w:hAnsi="Times New Roman" w:cs="Times New Roman"/>
          <w:i/>
          <w:iCs/>
          <w:sz w:val="24"/>
          <w:szCs w:val="24"/>
        </w:rPr>
        <w:t>management,</w:t>
      </w:r>
      <w:r w:rsidRPr="003A487B">
        <w:rPr>
          <w:rFonts w:ascii="Times New Roman" w:hAnsi="Times New Roman" w:cs="Times New Roman"/>
          <w:i/>
          <w:iCs/>
          <w:sz w:val="24"/>
          <w:szCs w:val="24"/>
        </w:rPr>
        <w:t xml:space="preserve"> </w:t>
      </w:r>
      <w:r w:rsidR="00043571">
        <w:rPr>
          <w:rFonts w:ascii="Times New Roman" w:hAnsi="Times New Roman" w:cs="Times New Roman"/>
          <w:i/>
          <w:iCs/>
          <w:sz w:val="24"/>
          <w:szCs w:val="24"/>
        </w:rPr>
        <w:t>l</w:t>
      </w:r>
      <w:r w:rsidRPr="00EA3310">
        <w:rPr>
          <w:rFonts w:ascii="Times New Roman" w:hAnsi="Times New Roman" w:cs="Times New Roman"/>
          <w:i/>
          <w:iCs/>
          <w:sz w:val="24"/>
          <w:szCs w:val="24"/>
        </w:rPr>
        <w:t xml:space="preserve">egal regime, </w:t>
      </w:r>
      <w:r w:rsidRPr="003A487B">
        <w:rPr>
          <w:rFonts w:ascii="Times New Roman" w:hAnsi="Times New Roman" w:cs="Times New Roman"/>
          <w:i/>
          <w:iCs/>
          <w:sz w:val="24"/>
          <w:szCs w:val="24"/>
        </w:rPr>
        <w:t>and post-SEO performance</w:t>
      </w:r>
    </w:p>
    <w:p w14:paraId="220504F4" w14:textId="0453CB0A" w:rsidR="004A59CF" w:rsidRDefault="00E3390D"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AC7FCA">
        <w:rPr>
          <w:rFonts w:ascii="Times New Roman" w:hAnsi="Times New Roman" w:cs="Times New Roman"/>
          <w:sz w:val="24"/>
          <w:szCs w:val="24"/>
        </w:rPr>
        <w:t>n Columns (3) and (4) of Table 6</w:t>
      </w:r>
      <w:r w:rsidR="00BF3D45">
        <w:rPr>
          <w:rFonts w:ascii="Times New Roman" w:hAnsi="Times New Roman" w:cs="Times New Roman"/>
          <w:sz w:val="24"/>
          <w:szCs w:val="24"/>
        </w:rPr>
        <w:t xml:space="preserve"> we report the results of our analysis of the impact of the strength of the legal regime</w:t>
      </w:r>
      <w:r w:rsidR="00AC7FCA">
        <w:rPr>
          <w:rFonts w:ascii="Times New Roman" w:hAnsi="Times New Roman" w:cs="Times New Roman"/>
          <w:sz w:val="24"/>
          <w:szCs w:val="24"/>
        </w:rPr>
        <w:t xml:space="preserve">. </w:t>
      </w:r>
      <w:r w:rsidR="00824854">
        <w:rPr>
          <w:rFonts w:ascii="Times New Roman" w:hAnsi="Times New Roman" w:cs="Times New Roman"/>
          <w:sz w:val="24"/>
          <w:szCs w:val="24"/>
        </w:rPr>
        <w:t xml:space="preserve">In </w:t>
      </w:r>
      <w:r w:rsidR="00BF3D45">
        <w:rPr>
          <w:rFonts w:ascii="Times New Roman" w:hAnsi="Times New Roman" w:cs="Times New Roman"/>
          <w:sz w:val="24"/>
          <w:szCs w:val="24"/>
        </w:rPr>
        <w:t>Column (3)</w:t>
      </w:r>
      <w:r w:rsidR="00824854">
        <w:rPr>
          <w:rFonts w:ascii="Times New Roman" w:hAnsi="Times New Roman" w:cs="Times New Roman"/>
          <w:sz w:val="24"/>
          <w:szCs w:val="24"/>
        </w:rPr>
        <w:t xml:space="preserve"> w</w:t>
      </w:r>
      <w:r w:rsidR="008B0EE7">
        <w:rPr>
          <w:rFonts w:ascii="Times New Roman" w:hAnsi="Times New Roman" w:cs="Times New Roman"/>
          <w:sz w:val="24"/>
          <w:szCs w:val="24"/>
        </w:rPr>
        <w:t xml:space="preserve">e include the interaction of </w:t>
      </w:r>
      <w:r w:rsidR="008B0EE7" w:rsidRPr="001578CB">
        <w:rPr>
          <w:rFonts w:ascii="Times New Roman" w:hAnsi="Times New Roman" w:cs="Times New Roman"/>
          <w:i/>
          <w:iCs/>
          <w:sz w:val="24"/>
          <w:szCs w:val="24"/>
        </w:rPr>
        <w:t>LAW</w:t>
      </w:r>
      <w:r w:rsidR="008B0EE7">
        <w:rPr>
          <w:rFonts w:ascii="Times New Roman" w:hAnsi="Times New Roman" w:cs="Times New Roman"/>
          <w:sz w:val="24"/>
          <w:szCs w:val="24"/>
        </w:rPr>
        <w:t xml:space="preserve"> with </w:t>
      </w:r>
      <w:r w:rsidR="008B0EE7" w:rsidRPr="001578CB">
        <w:rPr>
          <w:rFonts w:ascii="Times New Roman" w:hAnsi="Times New Roman" w:cs="Times New Roman"/>
          <w:i/>
          <w:iCs/>
          <w:sz w:val="24"/>
          <w:szCs w:val="24"/>
        </w:rPr>
        <w:t>AEM</w:t>
      </w:r>
      <w:r w:rsidR="008B0EE7">
        <w:rPr>
          <w:rFonts w:ascii="Times New Roman" w:hAnsi="Times New Roman" w:cs="Times New Roman"/>
          <w:sz w:val="24"/>
          <w:szCs w:val="24"/>
        </w:rPr>
        <w:t xml:space="preserve"> and </w:t>
      </w:r>
      <w:r w:rsidR="008B0EE7" w:rsidRPr="001578CB">
        <w:rPr>
          <w:rFonts w:ascii="Times New Roman" w:hAnsi="Times New Roman" w:cs="Times New Roman"/>
          <w:i/>
          <w:iCs/>
          <w:sz w:val="24"/>
          <w:szCs w:val="24"/>
        </w:rPr>
        <w:t>RAM</w:t>
      </w:r>
      <w:r w:rsidR="008B0EE7">
        <w:rPr>
          <w:rFonts w:ascii="Times New Roman" w:hAnsi="Times New Roman" w:cs="Times New Roman"/>
          <w:sz w:val="24"/>
          <w:szCs w:val="24"/>
        </w:rPr>
        <w:t xml:space="preserve">, and </w:t>
      </w:r>
      <w:r w:rsidR="00F13632">
        <w:rPr>
          <w:rFonts w:ascii="Times New Roman" w:hAnsi="Times New Roman" w:cs="Times New Roman"/>
          <w:sz w:val="24"/>
          <w:szCs w:val="24"/>
        </w:rPr>
        <w:t xml:space="preserve">in Column (4) the interaction of </w:t>
      </w:r>
      <w:r w:rsidR="00F13632" w:rsidRPr="001578CB">
        <w:rPr>
          <w:rFonts w:ascii="Times New Roman" w:hAnsi="Times New Roman" w:cs="Times New Roman"/>
          <w:i/>
          <w:iCs/>
          <w:sz w:val="24"/>
          <w:szCs w:val="24"/>
        </w:rPr>
        <w:t>LAW</w:t>
      </w:r>
      <w:r w:rsidR="00F13632">
        <w:rPr>
          <w:rFonts w:ascii="Times New Roman" w:hAnsi="Times New Roman" w:cs="Times New Roman"/>
          <w:sz w:val="24"/>
          <w:szCs w:val="24"/>
        </w:rPr>
        <w:t xml:space="preserve"> </w:t>
      </w:r>
      <w:r w:rsidR="008B0EE7">
        <w:rPr>
          <w:rFonts w:ascii="Times New Roman" w:hAnsi="Times New Roman" w:cs="Times New Roman"/>
          <w:sz w:val="24"/>
          <w:szCs w:val="24"/>
        </w:rPr>
        <w:t xml:space="preserve">with </w:t>
      </w:r>
      <w:r w:rsidR="008B0EE7" w:rsidRPr="001578CB">
        <w:rPr>
          <w:rFonts w:ascii="Times New Roman" w:hAnsi="Times New Roman" w:cs="Times New Roman"/>
          <w:i/>
          <w:iCs/>
          <w:sz w:val="24"/>
          <w:szCs w:val="24"/>
        </w:rPr>
        <w:t>TAR</w:t>
      </w:r>
      <w:r w:rsidR="008B0EE7">
        <w:rPr>
          <w:rFonts w:ascii="Times New Roman" w:hAnsi="Times New Roman" w:cs="Times New Roman"/>
          <w:sz w:val="24"/>
          <w:szCs w:val="24"/>
        </w:rPr>
        <w:t xml:space="preserve">. </w:t>
      </w:r>
      <w:bookmarkStart w:id="1" w:name="_Hlk109004287"/>
      <w:r w:rsidR="008B0EE7">
        <w:rPr>
          <w:rFonts w:ascii="Times New Roman" w:hAnsi="Times New Roman" w:cs="Times New Roman"/>
          <w:sz w:val="24"/>
          <w:szCs w:val="24"/>
        </w:rPr>
        <w:t xml:space="preserve">In Column (3), the coefficients on </w:t>
      </w:r>
      <w:r w:rsidR="008B0EE7" w:rsidRPr="001578CB">
        <w:rPr>
          <w:rFonts w:ascii="Times New Roman" w:hAnsi="Times New Roman" w:cs="Times New Roman"/>
          <w:i/>
          <w:iCs/>
          <w:sz w:val="24"/>
          <w:szCs w:val="24"/>
        </w:rPr>
        <w:t>AEM</w:t>
      </w:r>
      <w:r w:rsidR="008B0EE7">
        <w:rPr>
          <w:rFonts w:ascii="Times New Roman" w:hAnsi="Times New Roman" w:cs="Times New Roman"/>
          <w:sz w:val="24"/>
          <w:szCs w:val="24"/>
        </w:rPr>
        <w:t xml:space="preserve"> (coefficient -0.034</w:t>
      </w:r>
      <w:r w:rsidR="001B3BDC">
        <w:rPr>
          <w:rFonts w:ascii="Times New Roman" w:hAnsi="Times New Roman" w:cs="Times New Roman"/>
          <w:sz w:val="24"/>
          <w:szCs w:val="24"/>
        </w:rPr>
        <w:t>9</w:t>
      </w:r>
      <w:r w:rsidR="008B0EE7">
        <w:rPr>
          <w:rFonts w:ascii="Times New Roman" w:hAnsi="Times New Roman" w:cs="Times New Roman"/>
          <w:sz w:val="24"/>
          <w:szCs w:val="24"/>
        </w:rPr>
        <w:t xml:space="preserve">, </w:t>
      </w:r>
      <w:r w:rsidR="008B0EE7" w:rsidRPr="001578CB">
        <w:rPr>
          <w:rFonts w:ascii="Times New Roman" w:hAnsi="Times New Roman" w:cs="Times New Roman"/>
          <w:i/>
          <w:iCs/>
          <w:sz w:val="24"/>
          <w:szCs w:val="24"/>
        </w:rPr>
        <w:t>t</w:t>
      </w:r>
      <w:r w:rsidR="008B0EE7">
        <w:rPr>
          <w:rFonts w:ascii="Times New Roman" w:hAnsi="Times New Roman" w:cs="Times New Roman"/>
          <w:sz w:val="24"/>
          <w:szCs w:val="24"/>
        </w:rPr>
        <w:t>-statistic = -2.1</w:t>
      </w:r>
      <w:r w:rsidR="001B3BDC">
        <w:rPr>
          <w:rFonts w:ascii="Times New Roman" w:hAnsi="Times New Roman" w:cs="Times New Roman"/>
          <w:sz w:val="24"/>
          <w:szCs w:val="24"/>
        </w:rPr>
        <w:t>174</w:t>
      </w:r>
      <w:r w:rsidR="008B0EE7">
        <w:rPr>
          <w:rFonts w:ascii="Times New Roman" w:hAnsi="Times New Roman" w:cs="Times New Roman"/>
          <w:sz w:val="24"/>
          <w:szCs w:val="24"/>
        </w:rPr>
        <w:t xml:space="preserve">) and </w:t>
      </w:r>
      <w:r w:rsidR="008B0EE7" w:rsidRPr="001578CB">
        <w:rPr>
          <w:rFonts w:ascii="Times New Roman" w:hAnsi="Times New Roman" w:cs="Times New Roman"/>
          <w:i/>
          <w:iCs/>
          <w:sz w:val="24"/>
          <w:szCs w:val="24"/>
        </w:rPr>
        <w:t>RAM</w:t>
      </w:r>
      <w:r w:rsidR="008B0EE7">
        <w:rPr>
          <w:rFonts w:ascii="Times New Roman" w:hAnsi="Times New Roman" w:cs="Times New Roman"/>
          <w:sz w:val="24"/>
          <w:szCs w:val="24"/>
        </w:rPr>
        <w:t xml:space="preserve"> (coefficient -0.0</w:t>
      </w:r>
      <w:r w:rsidR="001F782A">
        <w:rPr>
          <w:rFonts w:ascii="Times New Roman" w:hAnsi="Times New Roman" w:cs="Times New Roman"/>
          <w:sz w:val="24"/>
          <w:szCs w:val="24"/>
        </w:rPr>
        <w:t>588</w:t>
      </w:r>
      <w:r w:rsidR="008B0EE7">
        <w:rPr>
          <w:rFonts w:ascii="Times New Roman" w:hAnsi="Times New Roman" w:cs="Times New Roman"/>
          <w:sz w:val="24"/>
          <w:szCs w:val="24"/>
        </w:rPr>
        <w:t xml:space="preserve">, </w:t>
      </w:r>
      <w:r w:rsidR="008B0EE7" w:rsidRPr="001578CB">
        <w:rPr>
          <w:rFonts w:ascii="Times New Roman" w:hAnsi="Times New Roman" w:cs="Times New Roman"/>
          <w:i/>
          <w:iCs/>
          <w:sz w:val="24"/>
          <w:szCs w:val="24"/>
        </w:rPr>
        <w:t>t</w:t>
      </w:r>
      <w:r w:rsidR="008B0EE7">
        <w:rPr>
          <w:rFonts w:ascii="Times New Roman" w:hAnsi="Times New Roman" w:cs="Times New Roman"/>
          <w:sz w:val="24"/>
          <w:szCs w:val="24"/>
        </w:rPr>
        <w:t>-statistic = -3.</w:t>
      </w:r>
      <w:r w:rsidR="001F782A">
        <w:rPr>
          <w:rFonts w:ascii="Times New Roman" w:hAnsi="Times New Roman" w:cs="Times New Roman"/>
          <w:sz w:val="24"/>
          <w:szCs w:val="24"/>
        </w:rPr>
        <w:t>4</w:t>
      </w:r>
      <w:r w:rsidR="008B0EE7">
        <w:rPr>
          <w:rFonts w:ascii="Times New Roman" w:hAnsi="Times New Roman" w:cs="Times New Roman"/>
          <w:sz w:val="24"/>
          <w:szCs w:val="24"/>
        </w:rPr>
        <w:t>9</w:t>
      </w:r>
      <w:r w:rsidR="00CB38F4">
        <w:rPr>
          <w:rFonts w:ascii="Times New Roman" w:hAnsi="Times New Roman" w:cs="Times New Roman"/>
          <w:sz w:val="24"/>
          <w:szCs w:val="24"/>
        </w:rPr>
        <w:t>08</w:t>
      </w:r>
      <w:r w:rsidR="008B0EE7">
        <w:rPr>
          <w:rFonts w:ascii="Times New Roman" w:hAnsi="Times New Roman" w:cs="Times New Roman"/>
          <w:sz w:val="24"/>
          <w:szCs w:val="24"/>
        </w:rPr>
        <w:t xml:space="preserve">) are both negative and significant at the 5% and 1% level, respectively, indicating that both </w:t>
      </w:r>
      <w:r w:rsidR="008B0EE7" w:rsidRPr="001578CB">
        <w:rPr>
          <w:rFonts w:ascii="Times New Roman" w:hAnsi="Times New Roman" w:cs="Times New Roman"/>
          <w:i/>
          <w:iCs/>
          <w:sz w:val="24"/>
          <w:szCs w:val="24"/>
        </w:rPr>
        <w:t>AEM</w:t>
      </w:r>
      <w:r w:rsidR="008B0EE7">
        <w:rPr>
          <w:rFonts w:ascii="Times New Roman" w:hAnsi="Times New Roman" w:cs="Times New Roman"/>
          <w:sz w:val="24"/>
          <w:szCs w:val="24"/>
        </w:rPr>
        <w:t xml:space="preserve"> and </w:t>
      </w:r>
      <w:r w:rsidR="008B0EE7" w:rsidRPr="001578CB">
        <w:rPr>
          <w:rFonts w:ascii="Times New Roman" w:hAnsi="Times New Roman" w:cs="Times New Roman"/>
          <w:i/>
          <w:iCs/>
          <w:sz w:val="24"/>
          <w:szCs w:val="24"/>
        </w:rPr>
        <w:t>RAM</w:t>
      </w:r>
      <w:r w:rsidR="008B0EE7">
        <w:rPr>
          <w:rFonts w:ascii="Times New Roman" w:hAnsi="Times New Roman" w:cs="Times New Roman"/>
          <w:sz w:val="24"/>
          <w:szCs w:val="24"/>
        </w:rPr>
        <w:t xml:space="preserve"> </w:t>
      </w:r>
      <w:r w:rsidR="005C605C">
        <w:rPr>
          <w:rFonts w:ascii="Times New Roman" w:hAnsi="Times New Roman" w:cs="Times New Roman"/>
          <w:sz w:val="24"/>
          <w:szCs w:val="24"/>
        </w:rPr>
        <w:t xml:space="preserve">have a negative impact on </w:t>
      </w:r>
      <w:r w:rsidR="008B0EE7">
        <w:rPr>
          <w:rFonts w:ascii="Times New Roman" w:hAnsi="Times New Roman" w:cs="Times New Roman"/>
          <w:sz w:val="24"/>
          <w:szCs w:val="24"/>
        </w:rPr>
        <w:t>post-SEO performance for firms in countries with weak legal regimes. The difference in coefficients is -0.02</w:t>
      </w:r>
      <w:r w:rsidR="00474F35">
        <w:rPr>
          <w:rFonts w:ascii="Times New Roman" w:hAnsi="Times New Roman" w:cs="Times New Roman"/>
          <w:sz w:val="24"/>
          <w:szCs w:val="24"/>
        </w:rPr>
        <w:t>39</w:t>
      </w:r>
      <w:r w:rsidR="008B0EE7">
        <w:rPr>
          <w:rFonts w:ascii="Times New Roman" w:hAnsi="Times New Roman" w:cs="Times New Roman"/>
          <w:sz w:val="24"/>
          <w:szCs w:val="24"/>
        </w:rPr>
        <w:t xml:space="preserve"> (</w:t>
      </w:r>
      <w:r w:rsidR="008B0EE7" w:rsidRPr="001578CB">
        <w:rPr>
          <w:rFonts w:ascii="Times New Roman" w:hAnsi="Times New Roman" w:cs="Times New Roman"/>
          <w:i/>
          <w:iCs/>
          <w:sz w:val="24"/>
          <w:szCs w:val="24"/>
        </w:rPr>
        <w:t>F</w:t>
      </w:r>
      <w:r w:rsidR="008B0EE7">
        <w:rPr>
          <w:rFonts w:ascii="Times New Roman" w:hAnsi="Times New Roman" w:cs="Times New Roman"/>
          <w:sz w:val="24"/>
          <w:szCs w:val="24"/>
        </w:rPr>
        <w:t xml:space="preserve">-statistic = </w:t>
      </w:r>
      <w:r w:rsidR="006E70AD">
        <w:rPr>
          <w:rFonts w:ascii="Times New Roman" w:hAnsi="Times New Roman" w:cs="Times New Roman"/>
          <w:sz w:val="24"/>
          <w:szCs w:val="24"/>
        </w:rPr>
        <w:t>0.88</w:t>
      </w:r>
      <w:r w:rsidR="008B0EE7">
        <w:rPr>
          <w:rFonts w:ascii="Times New Roman" w:hAnsi="Times New Roman" w:cs="Times New Roman"/>
          <w:sz w:val="24"/>
          <w:szCs w:val="24"/>
        </w:rPr>
        <w:t xml:space="preserve">) and is not statistically significant, suggesting that the impact of </w:t>
      </w:r>
      <w:r w:rsidR="008B0EE7" w:rsidRPr="001578CB">
        <w:rPr>
          <w:rFonts w:ascii="Times New Roman" w:hAnsi="Times New Roman" w:cs="Times New Roman"/>
          <w:i/>
          <w:iCs/>
          <w:sz w:val="24"/>
          <w:szCs w:val="24"/>
        </w:rPr>
        <w:t>A</w:t>
      </w:r>
      <w:r w:rsidR="00106014">
        <w:rPr>
          <w:rFonts w:ascii="Times New Roman" w:hAnsi="Times New Roman" w:cs="Times New Roman"/>
          <w:i/>
          <w:iCs/>
          <w:sz w:val="24"/>
          <w:szCs w:val="24"/>
        </w:rPr>
        <w:t>E</w:t>
      </w:r>
      <w:r w:rsidR="008B0EE7" w:rsidRPr="001578CB">
        <w:rPr>
          <w:rFonts w:ascii="Times New Roman" w:hAnsi="Times New Roman" w:cs="Times New Roman"/>
          <w:i/>
          <w:iCs/>
          <w:sz w:val="24"/>
          <w:szCs w:val="24"/>
        </w:rPr>
        <w:t>M</w:t>
      </w:r>
      <w:r w:rsidR="008B0EE7">
        <w:rPr>
          <w:rFonts w:ascii="Times New Roman" w:hAnsi="Times New Roman" w:cs="Times New Roman"/>
          <w:sz w:val="24"/>
          <w:szCs w:val="24"/>
        </w:rPr>
        <w:t xml:space="preserve"> is </w:t>
      </w:r>
      <w:r w:rsidR="009A7CB2">
        <w:rPr>
          <w:rFonts w:ascii="Times New Roman" w:hAnsi="Times New Roman" w:cs="Times New Roman"/>
          <w:sz w:val="24"/>
          <w:szCs w:val="24"/>
        </w:rPr>
        <w:t xml:space="preserve">similar </w:t>
      </w:r>
      <w:r w:rsidR="00621346">
        <w:rPr>
          <w:rFonts w:ascii="Times New Roman" w:hAnsi="Times New Roman" w:cs="Times New Roman"/>
          <w:sz w:val="24"/>
          <w:szCs w:val="24"/>
        </w:rPr>
        <w:t xml:space="preserve">to </w:t>
      </w:r>
      <w:r w:rsidR="00CE6692">
        <w:rPr>
          <w:rFonts w:ascii="Times New Roman" w:hAnsi="Times New Roman" w:cs="Times New Roman"/>
          <w:sz w:val="24"/>
          <w:szCs w:val="24"/>
        </w:rPr>
        <w:t xml:space="preserve">the impact </w:t>
      </w:r>
      <w:r w:rsidR="008B0EE7">
        <w:rPr>
          <w:rFonts w:ascii="Times New Roman" w:hAnsi="Times New Roman" w:cs="Times New Roman"/>
          <w:sz w:val="24"/>
          <w:szCs w:val="24"/>
        </w:rPr>
        <w:t>o</w:t>
      </w:r>
      <w:r w:rsidR="0043646C">
        <w:rPr>
          <w:rFonts w:ascii="Times New Roman" w:hAnsi="Times New Roman" w:cs="Times New Roman"/>
          <w:sz w:val="24"/>
          <w:szCs w:val="24"/>
        </w:rPr>
        <w:t>f</w:t>
      </w:r>
      <w:r w:rsidR="008B0EE7">
        <w:rPr>
          <w:rFonts w:ascii="Times New Roman" w:hAnsi="Times New Roman" w:cs="Times New Roman"/>
          <w:sz w:val="24"/>
          <w:szCs w:val="24"/>
        </w:rPr>
        <w:t xml:space="preserve"> </w:t>
      </w:r>
      <w:r w:rsidR="00F529BE">
        <w:rPr>
          <w:rFonts w:ascii="Times New Roman" w:hAnsi="Times New Roman" w:cs="Times New Roman"/>
          <w:i/>
          <w:iCs/>
          <w:sz w:val="24"/>
          <w:szCs w:val="24"/>
        </w:rPr>
        <w:t>RA</w:t>
      </w:r>
      <w:r w:rsidR="008B0EE7" w:rsidRPr="001578CB">
        <w:rPr>
          <w:rFonts w:ascii="Times New Roman" w:hAnsi="Times New Roman" w:cs="Times New Roman"/>
          <w:i/>
          <w:iCs/>
          <w:sz w:val="24"/>
          <w:szCs w:val="24"/>
        </w:rPr>
        <w:t>M</w:t>
      </w:r>
      <w:r w:rsidR="008B0EE7">
        <w:rPr>
          <w:rFonts w:ascii="Times New Roman" w:hAnsi="Times New Roman" w:cs="Times New Roman"/>
          <w:sz w:val="24"/>
          <w:szCs w:val="24"/>
        </w:rPr>
        <w:t xml:space="preserve"> in countries with weak legal regimes. The coefficient on </w:t>
      </w:r>
      <w:r w:rsidR="008B0EE7" w:rsidRPr="001578CB">
        <w:rPr>
          <w:rFonts w:ascii="Times New Roman" w:hAnsi="Times New Roman" w:cs="Times New Roman"/>
          <w:i/>
          <w:iCs/>
          <w:sz w:val="24"/>
          <w:szCs w:val="24"/>
        </w:rPr>
        <w:t>AEM*LAW</w:t>
      </w:r>
      <w:r w:rsidR="008B0EE7">
        <w:rPr>
          <w:rFonts w:ascii="Times New Roman" w:hAnsi="Times New Roman" w:cs="Times New Roman"/>
          <w:sz w:val="24"/>
          <w:szCs w:val="24"/>
        </w:rPr>
        <w:t xml:space="preserve"> (coefficient -0.004</w:t>
      </w:r>
      <w:r w:rsidR="00563ECF">
        <w:rPr>
          <w:rFonts w:ascii="Times New Roman" w:hAnsi="Times New Roman" w:cs="Times New Roman"/>
          <w:sz w:val="24"/>
          <w:szCs w:val="24"/>
        </w:rPr>
        <w:t>1</w:t>
      </w:r>
      <w:r w:rsidR="008B0EE7">
        <w:rPr>
          <w:rFonts w:ascii="Times New Roman" w:hAnsi="Times New Roman" w:cs="Times New Roman"/>
          <w:sz w:val="24"/>
          <w:szCs w:val="24"/>
        </w:rPr>
        <w:t xml:space="preserve">, </w:t>
      </w:r>
      <w:r w:rsidR="008B0EE7" w:rsidRPr="001578CB">
        <w:rPr>
          <w:rFonts w:ascii="Times New Roman" w:hAnsi="Times New Roman" w:cs="Times New Roman"/>
          <w:i/>
          <w:iCs/>
          <w:sz w:val="24"/>
          <w:szCs w:val="24"/>
        </w:rPr>
        <w:t>t</w:t>
      </w:r>
      <w:r w:rsidR="008B0EE7">
        <w:rPr>
          <w:rFonts w:ascii="Times New Roman" w:hAnsi="Times New Roman" w:cs="Times New Roman"/>
          <w:sz w:val="24"/>
          <w:szCs w:val="24"/>
        </w:rPr>
        <w:t xml:space="preserve">-statistic = </w:t>
      </w:r>
      <w:r w:rsidR="00363DF2">
        <w:rPr>
          <w:rFonts w:ascii="Times New Roman" w:hAnsi="Times New Roman" w:cs="Times New Roman"/>
          <w:sz w:val="24"/>
          <w:szCs w:val="24"/>
        </w:rPr>
        <w:t>-</w:t>
      </w:r>
      <w:r w:rsidR="008B0EE7">
        <w:rPr>
          <w:rFonts w:ascii="Times New Roman" w:hAnsi="Times New Roman" w:cs="Times New Roman"/>
          <w:sz w:val="24"/>
          <w:szCs w:val="24"/>
        </w:rPr>
        <w:t>0.40</w:t>
      </w:r>
      <w:r w:rsidR="0088091A">
        <w:rPr>
          <w:rFonts w:ascii="Times New Roman" w:hAnsi="Times New Roman" w:cs="Times New Roman"/>
          <w:sz w:val="24"/>
          <w:szCs w:val="24"/>
        </w:rPr>
        <w:t>29</w:t>
      </w:r>
      <w:r w:rsidR="008B0EE7">
        <w:rPr>
          <w:rFonts w:ascii="Times New Roman" w:hAnsi="Times New Roman" w:cs="Times New Roman"/>
          <w:sz w:val="24"/>
          <w:szCs w:val="24"/>
        </w:rPr>
        <w:t xml:space="preserve">) is not significant, but that on </w:t>
      </w:r>
      <w:r w:rsidR="008B0EE7" w:rsidRPr="001578CB">
        <w:rPr>
          <w:rFonts w:ascii="Times New Roman" w:hAnsi="Times New Roman" w:cs="Times New Roman"/>
          <w:i/>
          <w:iCs/>
          <w:sz w:val="24"/>
          <w:szCs w:val="24"/>
        </w:rPr>
        <w:t>RAM*LAW</w:t>
      </w:r>
      <w:r w:rsidR="008B0EE7" w:rsidRPr="0088091A">
        <w:rPr>
          <w:rFonts w:ascii="Times New Roman" w:hAnsi="Times New Roman" w:cs="Times New Roman"/>
          <w:sz w:val="24"/>
          <w:szCs w:val="24"/>
        </w:rPr>
        <w:t xml:space="preserve"> </w:t>
      </w:r>
      <w:r w:rsidR="008B0EE7">
        <w:rPr>
          <w:rFonts w:ascii="Times New Roman" w:hAnsi="Times New Roman" w:cs="Times New Roman"/>
          <w:sz w:val="24"/>
          <w:szCs w:val="24"/>
        </w:rPr>
        <w:t>(coefficient -0.026</w:t>
      </w:r>
      <w:r w:rsidR="00F873B2">
        <w:rPr>
          <w:rFonts w:ascii="Times New Roman" w:hAnsi="Times New Roman" w:cs="Times New Roman"/>
          <w:sz w:val="24"/>
          <w:szCs w:val="24"/>
        </w:rPr>
        <w:t>5</w:t>
      </w:r>
      <w:r w:rsidR="008B0EE7">
        <w:rPr>
          <w:rFonts w:ascii="Times New Roman" w:hAnsi="Times New Roman" w:cs="Times New Roman"/>
          <w:sz w:val="24"/>
          <w:szCs w:val="24"/>
        </w:rPr>
        <w:t xml:space="preserve">, </w:t>
      </w:r>
      <w:r w:rsidR="008B0EE7" w:rsidRPr="001578CB">
        <w:rPr>
          <w:rFonts w:ascii="Times New Roman" w:hAnsi="Times New Roman" w:cs="Times New Roman"/>
          <w:i/>
          <w:iCs/>
          <w:sz w:val="24"/>
          <w:szCs w:val="24"/>
        </w:rPr>
        <w:t>t</w:t>
      </w:r>
      <w:r w:rsidR="008B0EE7">
        <w:rPr>
          <w:rFonts w:ascii="Times New Roman" w:hAnsi="Times New Roman" w:cs="Times New Roman"/>
          <w:sz w:val="24"/>
          <w:szCs w:val="24"/>
        </w:rPr>
        <w:t>-statistic = -2.6</w:t>
      </w:r>
      <w:r w:rsidR="00F873B2">
        <w:rPr>
          <w:rFonts w:ascii="Times New Roman" w:hAnsi="Times New Roman" w:cs="Times New Roman"/>
          <w:sz w:val="24"/>
          <w:szCs w:val="24"/>
        </w:rPr>
        <w:t>104</w:t>
      </w:r>
      <w:r w:rsidR="008B0EE7">
        <w:rPr>
          <w:rFonts w:ascii="Times New Roman" w:hAnsi="Times New Roman" w:cs="Times New Roman"/>
          <w:sz w:val="24"/>
          <w:szCs w:val="24"/>
        </w:rPr>
        <w:t>) is negative and significant. This suggests</w:t>
      </w:r>
      <w:r w:rsidR="00045D80">
        <w:rPr>
          <w:rFonts w:ascii="Times New Roman" w:hAnsi="Times New Roman" w:cs="Times New Roman"/>
          <w:sz w:val="24"/>
          <w:szCs w:val="24"/>
        </w:rPr>
        <w:t>, consistent with Hypothesis H2</w:t>
      </w:r>
      <w:r w:rsidR="00702B18">
        <w:rPr>
          <w:rFonts w:ascii="Times New Roman" w:hAnsi="Times New Roman" w:cs="Times New Roman"/>
          <w:sz w:val="24"/>
          <w:szCs w:val="24"/>
        </w:rPr>
        <w:t>,</w:t>
      </w:r>
      <w:r w:rsidR="008B0EE7">
        <w:rPr>
          <w:rFonts w:ascii="Times New Roman" w:hAnsi="Times New Roman" w:cs="Times New Roman"/>
          <w:sz w:val="24"/>
          <w:szCs w:val="24"/>
        </w:rPr>
        <w:t xml:space="preserve"> that </w:t>
      </w:r>
      <w:r w:rsidR="005777FD">
        <w:rPr>
          <w:rFonts w:ascii="Times New Roman" w:hAnsi="Times New Roman" w:cs="Times New Roman"/>
          <w:sz w:val="24"/>
          <w:szCs w:val="24"/>
        </w:rPr>
        <w:t xml:space="preserve">in countries with a strong legal regime, </w:t>
      </w:r>
      <w:r w:rsidR="008B0EE7" w:rsidRPr="001578CB">
        <w:rPr>
          <w:rFonts w:ascii="Times New Roman" w:hAnsi="Times New Roman" w:cs="Times New Roman"/>
          <w:i/>
          <w:iCs/>
          <w:sz w:val="24"/>
          <w:szCs w:val="24"/>
        </w:rPr>
        <w:t>RAM</w:t>
      </w:r>
      <w:r w:rsidR="008B0EE7">
        <w:rPr>
          <w:rFonts w:ascii="Times New Roman" w:hAnsi="Times New Roman" w:cs="Times New Roman"/>
          <w:sz w:val="24"/>
          <w:szCs w:val="24"/>
        </w:rPr>
        <w:t xml:space="preserve"> worsen</w:t>
      </w:r>
      <w:r w:rsidR="00891726">
        <w:rPr>
          <w:rFonts w:ascii="Times New Roman" w:hAnsi="Times New Roman" w:cs="Times New Roman"/>
          <w:sz w:val="24"/>
          <w:szCs w:val="24"/>
        </w:rPr>
        <w:t>s</w:t>
      </w:r>
      <w:r w:rsidR="008B0EE7">
        <w:rPr>
          <w:rFonts w:ascii="Times New Roman" w:hAnsi="Times New Roman" w:cs="Times New Roman"/>
          <w:sz w:val="24"/>
          <w:szCs w:val="24"/>
        </w:rPr>
        <w:t xml:space="preserve"> post-SEO performance </w:t>
      </w:r>
      <w:r w:rsidR="004955A1">
        <w:rPr>
          <w:rFonts w:ascii="Times New Roman" w:hAnsi="Times New Roman" w:cs="Times New Roman"/>
          <w:sz w:val="24"/>
          <w:szCs w:val="24"/>
        </w:rPr>
        <w:t xml:space="preserve">to a greater degree </w:t>
      </w:r>
      <w:r w:rsidR="004955A1">
        <w:rPr>
          <w:rFonts w:ascii="Times New Roman" w:hAnsi="Times New Roman" w:cs="Times New Roman"/>
          <w:sz w:val="24"/>
          <w:szCs w:val="24"/>
        </w:rPr>
        <w:lastRenderedPageBreak/>
        <w:t>than does AEM</w:t>
      </w:r>
      <w:r w:rsidR="008B0EE7">
        <w:rPr>
          <w:rFonts w:ascii="Times New Roman" w:hAnsi="Times New Roman" w:cs="Times New Roman"/>
          <w:sz w:val="24"/>
          <w:szCs w:val="24"/>
        </w:rPr>
        <w:t>.</w:t>
      </w:r>
      <w:r w:rsidR="00E26626">
        <w:rPr>
          <w:rFonts w:ascii="Times New Roman" w:hAnsi="Times New Roman" w:cs="Times New Roman"/>
          <w:sz w:val="24"/>
          <w:szCs w:val="24"/>
        </w:rPr>
        <w:t xml:space="preserve"> </w:t>
      </w:r>
      <w:r w:rsidR="004A59CF">
        <w:rPr>
          <w:rFonts w:ascii="Times New Roman" w:hAnsi="Times New Roman" w:cs="Times New Roman"/>
          <w:sz w:val="24"/>
          <w:szCs w:val="24"/>
        </w:rPr>
        <w:t xml:space="preserve">This is confirmed by </w:t>
      </w:r>
      <w:r w:rsidR="00CE4770">
        <w:rPr>
          <w:rFonts w:ascii="Times New Roman" w:hAnsi="Times New Roman" w:cs="Times New Roman"/>
          <w:sz w:val="24"/>
          <w:szCs w:val="24"/>
        </w:rPr>
        <w:t xml:space="preserve">a </w:t>
      </w:r>
      <w:r w:rsidR="004A59CF">
        <w:rPr>
          <w:rFonts w:ascii="Times New Roman" w:hAnsi="Times New Roman" w:cs="Times New Roman"/>
          <w:sz w:val="24"/>
          <w:szCs w:val="24"/>
        </w:rPr>
        <w:t xml:space="preserve">comparison of the total coefficients on </w:t>
      </w:r>
      <w:r w:rsidR="004A59CF" w:rsidRPr="00F80A26">
        <w:rPr>
          <w:rFonts w:ascii="Times New Roman" w:hAnsi="Times New Roman" w:cs="Times New Roman"/>
          <w:i/>
          <w:sz w:val="24"/>
          <w:szCs w:val="24"/>
        </w:rPr>
        <w:t>AEM</w:t>
      </w:r>
      <w:r w:rsidR="004A59CF">
        <w:rPr>
          <w:rFonts w:ascii="Times New Roman" w:hAnsi="Times New Roman" w:cs="Times New Roman"/>
          <w:sz w:val="24"/>
          <w:szCs w:val="24"/>
        </w:rPr>
        <w:t xml:space="preserve"> and </w:t>
      </w:r>
      <w:r w:rsidR="004A59CF" w:rsidRPr="00F80A26">
        <w:rPr>
          <w:rFonts w:ascii="Times New Roman" w:hAnsi="Times New Roman" w:cs="Times New Roman"/>
          <w:i/>
          <w:sz w:val="24"/>
          <w:szCs w:val="24"/>
        </w:rPr>
        <w:t>RAM</w:t>
      </w:r>
      <w:r w:rsidR="004A59CF">
        <w:rPr>
          <w:rFonts w:ascii="Times New Roman" w:hAnsi="Times New Roman" w:cs="Times New Roman"/>
          <w:sz w:val="24"/>
          <w:szCs w:val="24"/>
        </w:rPr>
        <w:t xml:space="preserve"> (that is, the sum of the coefficients for </w:t>
      </w:r>
      <w:r w:rsidR="004A59CF" w:rsidRPr="00363ACD">
        <w:rPr>
          <w:rFonts w:ascii="Times New Roman" w:hAnsi="Times New Roman" w:cs="Times New Roman"/>
          <w:i/>
          <w:iCs/>
          <w:sz w:val="24"/>
          <w:szCs w:val="24"/>
        </w:rPr>
        <w:t>AEM</w:t>
      </w:r>
      <w:r w:rsidR="004A59CF">
        <w:rPr>
          <w:rFonts w:ascii="Times New Roman" w:hAnsi="Times New Roman" w:cs="Times New Roman"/>
          <w:sz w:val="24"/>
          <w:szCs w:val="24"/>
        </w:rPr>
        <w:t>+</w:t>
      </w:r>
      <w:r w:rsidR="004A59CF" w:rsidRPr="00363ACD">
        <w:rPr>
          <w:rFonts w:ascii="Times New Roman" w:hAnsi="Times New Roman" w:cs="Times New Roman"/>
          <w:i/>
          <w:iCs/>
          <w:sz w:val="24"/>
          <w:szCs w:val="24"/>
        </w:rPr>
        <w:t>AEM*LAW</w:t>
      </w:r>
      <w:r w:rsidR="004A59CF">
        <w:rPr>
          <w:rFonts w:ascii="Times New Roman" w:hAnsi="Times New Roman" w:cs="Times New Roman"/>
          <w:sz w:val="24"/>
          <w:szCs w:val="24"/>
        </w:rPr>
        <w:t xml:space="preserve"> and </w:t>
      </w:r>
      <w:r w:rsidR="004A59CF" w:rsidRPr="00363ACD">
        <w:rPr>
          <w:rFonts w:ascii="Times New Roman" w:hAnsi="Times New Roman" w:cs="Times New Roman"/>
          <w:i/>
          <w:iCs/>
          <w:sz w:val="24"/>
          <w:szCs w:val="24"/>
        </w:rPr>
        <w:t>RAM</w:t>
      </w:r>
      <w:r w:rsidR="004A59CF">
        <w:rPr>
          <w:rFonts w:ascii="Times New Roman" w:hAnsi="Times New Roman" w:cs="Times New Roman"/>
          <w:sz w:val="24"/>
          <w:szCs w:val="24"/>
        </w:rPr>
        <w:t>+</w:t>
      </w:r>
      <w:r w:rsidR="004A59CF" w:rsidRPr="00363ACD">
        <w:rPr>
          <w:rFonts w:ascii="Times New Roman" w:hAnsi="Times New Roman" w:cs="Times New Roman"/>
          <w:i/>
          <w:iCs/>
          <w:sz w:val="24"/>
          <w:szCs w:val="24"/>
        </w:rPr>
        <w:t>RAM*LAW</w:t>
      </w:r>
      <w:r w:rsidR="004A59CF">
        <w:rPr>
          <w:rFonts w:ascii="Times New Roman" w:hAnsi="Times New Roman" w:cs="Times New Roman"/>
          <w:sz w:val="24"/>
          <w:szCs w:val="24"/>
        </w:rPr>
        <w:t>). The difference is -0.0463 and is statistically significant at the 1% level, (</w:t>
      </w:r>
      <w:r w:rsidR="004A59CF" w:rsidRPr="00363ACD">
        <w:rPr>
          <w:rFonts w:ascii="Times New Roman" w:hAnsi="Times New Roman" w:cs="Times New Roman"/>
          <w:i/>
          <w:iCs/>
          <w:sz w:val="24"/>
          <w:szCs w:val="24"/>
        </w:rPr>
        <w:t>F</w:t>
      </w:r>
      <w:r w:rsidR="004A59CF">
        <w:rPr>
          <w:rFonts w:ascii="Times New Roman" w:hAnsi="Times New Roman" w:cs="Times New Roman"/>
          <w:sz w:val="24"/>
          <w:szCs w:val="24"/>
        </w:rPr>
        <w:t>-statistic = 22.15) indicating that in countries with a strong legal regime,</w:t>
      </w:r>
      <w:r w:rsidR="004A59CF" w:rsidRPr="00363ACD">
        <w:rPr>
          <w:rFonts w:ascii="Times New Roman" w:hAnsi="Times New Roman" w:cs="Times New Roman"/>
          <w:i/>
          <w:iCs/>
          <w:sz w:val="24"/>
          <w:szCs w:val="24"/>
        </w:rPr>
        <w:t xml:space="preserve"> RAM</w:t>
      </w:r>
      <w:r w:rsidR="004A59CF">
        <w:rPr>
          <w:rFonts w:ascii="Times New Roman" w:hAnsi="Times New Roman" w:cs="Times New Roman"/>
          <w:sz w:val="24"/>
          <w:szCs w:val="24"/>
        </w:rPr>
        <w:t xml:space="preserve"> has a larger impact on post</w:t>
      </w:r>
      <w:r w:rsidR="002C0FD4">
        <w:rPr>
          <w:rFonts w:ascii="Times New Roman" w:hAnsi="Times New Roman" w:cs="Times New Roman"/>
          <w:sz w:val="24"/>
          <w:szCs w:val="24"/>
        </w:rPr>
        <w:t>-</w:t>
      </w:r>
      <w:r w:rsidR="004A59CF">
        <w:rPr>
          <w:rFonts w:ascii="Times New Roman" w:hAnsi="Times New Roman" w:cs="Times New Roman"/>
          <w:sz w:val="24"/>
          <w:szCs w:val="24"/>
        </w:rPr>
        <w:t xml:space="preserve">SEO performance than does </w:t>
      </w:r>
      <w:r w:rsidR="004A59CF" w:rsidRPr="00363ACD">
        <w:rPr>
          <w:rFonts w:ascii="Times New Roman" w:hAnsi="Times New Roman" w:cs="Times New Roman"/>
          <w:i/>
          <w:iCs/>
          <w:sz w:val="24"/>
          <w:szCs w:val="24"/>
        </w:rPr>
        <w:t>AEM</w:t>
      </w:r>
      <w:r w:rsidR="004A59CF">
        <w:rPr>
          <w:rFonts w:ascii="Times New Roman" w:hAnsi="Times New Roman" w:cs="Times New Roman"/>
          <w:sz w:val="24"/>
          <w:szCs w:val="24"/>
        </w:rPr>
        <w:t>.</w:t>
      </w:r>
    </w:p>
    <w:bookmarkEnd w:id="1"/>
    <w:p w14:paraId="631CCFDD" w14:textId="5006D00E" w:rsidR="008B0EE7" w:rsidRDefault="008B0EE7" w:rsidP="001578C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In Column (4)</w:t>
      </w:r>
      <w:r w:rsidR="006807C9">
        <w:rPr>
          <w:rFonts w:ascii="Times New Roman" w:hAnsi="Times New Roman" w:cs="Times New Roman"/>
          <w:sz w:val="24"/>
          <w:szCs w:val="24"/>
        </w:rPr>
        <w:t xml:space="preserve"> of Table 7</w:t>
      </w:r>
      <w:r>
        <w:rPr>
          <w:rFonts w:ascii="Times New Roman" w:hAnsi="Times New Roman" w:cs="Times New Roman"/>
          <w:sz w:val="24"/>
          <w:szCs w:val="24"/>
        </w:rPr>
        <w:t xml:space="preserve">, the coefficient on </w:t>
      </w:r>
      <w:r w:rsidRPr="001578CB">
        <w:rPr>
          <w:rFonts w:ascii="Times New Roman" w:hAnsi="Times New Roman" w:cs="Times New Roman"/>
          <w:i/>
          <w:iCs/>
          <w:sz w:val="24"/>
          <w:szCs w:val="24"/>
        </w:rPr>
        <w:t>TAR</w:t>
      </w:r>
      <w:r>
        <w:rPr>
          <w:rFonts w:ascii="Times New Roman" w:hAnsi="Times New Roman" w:cs="Times New Roman"/>
          <w:sz w:val="24"/>
          <w:szCs w:val="24"/>
        </w:rPr>
        <w:t xml:space="preserve"> (coefficient -0.04</w:t>
      </w:r>
      <w:r w:rsidR="00527337">
        <w:rPr>
          <w:rFonts w:ascii="Times New Roman" w:hAnsi="Times New Roman" w:cs="Times New Roman"/>
          <w:sz w:val="24"/>
          <w:szCs w:val="24"/>
        </w:rPr>
        <w:t>64</w:t>
      </w:r>
      <w:r>
        <w:rPr>
          <w:rFonts w:ascii="Times New Roman" w:hAnsi="Times New Roman" w:cs="Times New Roman"/>
          <w:sz w:val="24"/>
          <w:szCs w:val="24"/>
        </w:rPr>
        <w:t xml:space="preserve">, </w:t>
      </w:r>
      <w:r w:rsidRPr="001578CB">
        <w:rPr>
          <w:rFonts w:ascii="Times New Roman" w:hAnsi="Times New Roman" w:cs="Times New Roman"/>
          <w:i/>
          <w:iCs/>
          <w:sz w:val="24"/>
          <w:szCs w:val="24"/>
        </w:rPr>
        <w:t>t</w:t>
      </w:r>
      <w:r>
        <w:rPr>
          <w:rFonts w:ascii="Times New Roman" w:hAnsi="Times New Roman" w:cs="Times New Roman"/>
          <w:sz w:val="24"/>
          <w:szCs w:val="24"/>
        </w:rPr>
        <w:t>-statistic = -4.</w:t>
      </w:r>
      <w:r w:rsidR="00527337">
        <w:rPr>
          <w:rFonts w:ascii="Times New Roman" w:hAnsi="Times New Roman" w:cs="Times New Roman"/>
          <w:sz w:val="24"/>
          <w:szCs w:val="24"/>
        </w:rPr>
        <w:t>2818</w:t>
      </w:r>
      <w:r>
        <w:rPr>
          <w:rFonts w:ascii="Times New Roman" w:hAnsi="Times New Roman" w:cs="Times New Roman"/>
          <w:sz w:val="24"/>
          <w:szCs w:val="24"/>
        </w:rPr>
        <w:t xml:space="preserve">) is negative and significant at the 1% level, indicating that </w:t>
      </w:r>
      <w:r w:rsidR="00E06BDC">
        <w:rPr>
          <w:rFonts w:ascii="Times New Roman" w:hAnsi="Times New Roman" w:cs="Times New Roman"/>
          <w:sz w:val="24"/>
          <w:szCs w:val="24"/>
        </w:rPr>
        <w:t xml:space="preserve">the combination of </w:t>
      </w:r>
      <w:r w:rsidRPr="001578CB">
        <w:rPr>
          <w:rFonts w:ascii="Times New Roman" w:hAnsi="Times New Roman" w:cs="Times New Roman"/>
          <w:i/>
          <w:iCs/>
          <w:sz w:val="24"/>
          <w:szCs w:val="24"/>
        </w:rPr>
        <w:t>AEM</w:t>
      </w:r>
      <w:r>
        <w:rPr>
          <w:rFonts w:ascii="Times New Roman" w:hAnsi="Times New Roman" w:cs="Times New Roman"/>
          <w:sz w:val="24"/>
          <w:szCs w:val="24"/>
        </w:rPr>
        <w:t xml:space="preserve"> and </w:t>
      </w:r>
      <w:r w:rsidRPr="001578CB">
        <w:rPr>
          <w:rFonts w:ascii="Times New Roman" w:hAnsi="Times New Roman" w:cs="Times New Roman"/>
          <w:i/>
          <w:iCs/>
          <w:sz w:val="24"/>
          <w:szCs w:val="24"/>
        </w:rPr>
        <w:t>RAM</w:t>
      </w:r>
      <w:r>
        <w:rPr>
          <w:rFonts w:ascii="Times New Roman" w:hAnsi="Times New Roman" w:cs="Times New Roman"/>
          <w:sz w:val="24"/>
          <w:szCs w:val="24"/>
        </w:rPr>
        <w:t xml:space="preserve"> </w:t>
      </w:r>
      <w:r w:rsidR="000D6309">
        <w:rPr>
          <w:rFonts w:ascii="Times New Roman" w:hAnsi="Times New Roman" w:cs="Times New Roman"/>
          <w:sz w:val="24"/>
          <w:szCs w:val="24"/>
        </w:rPr>
        <w:t xml:space="preserve">has </w:t>
      </w:r>
      <w:r>
        <w:rPr>
          <w:rFonts w:ascii="Times New Roman" w:hAnsi="Times New Roman" w:cs="Times New Roman"/>
          <w:sz w:val="24"/>
          <w:szCs w:val="24"/>
        </w:rPr>
        <w:t xml:space="preserve">a total negative effect on post-SEO performance for countries with weak legal regimes. The coefficient on </w:t>
      </w:r>
      <w:r w:rsidRPr="001578CB">
        <w:rPr>
          <w:rFonts w:ascii="Times New Roman" w:hAnsi="Times New Roman" w:cs="Times New Roman"/>
          <w:i/>
          <w:iCs/>
          <w:sz w:val="24"/>
          <w:szCs w:val="24"/>
        </w:rPr>
        <w:t>TAR*LAW</w:t>
      </w:r>
      <w:r>
        <w:rPr>
          <w:rFonts w:ascii="Times New Roman" w:hAnsi="Times New Roman" w:cs="Times New Roman"/>
          <w:sz w:val="24"/>
          <w:szCs w:val="24"/>
        </w:rPr>
        <w:t xml:space="preserve"> (coefficient -0.011</w:t>
      </w:r>
      <w:r w:rsidR="00ED40D0">
        <w:rPr>
          <w:rFonts w:ascii="Times New Roman" w:hAnsi="Times New Roman" w:cs="Times New Roman"/>
          <w:sz w:val="24"/>
          <w:szCs w:val="24"/>
        </w:rPr>
        <w:t>5</w:t>
      </w:r>
      <w:r>
        <w:rPr>
          <w:rFonts w:ascii="Times New Roman" w:hAnsi="Times New Roman" w:cs="Times New Roman"/>
          <w:sz w:val="24"/>
          <w:szCs w:val="24"/>
        </w:rPr>
        <w:t xml:space="preserve">, </w:t>
      </w:r>
      <w:r w:rsidRPr="001578CB">
        <w:rPr>
          <w:rFonts w:ascii="Times New Roman" w:hAnsi="Times New Roman" w:cs="Times New Roman"/>
          <w:i/>
          <w:iCs/>
          <w:sz w:val="24"/>
          <w:szCs w:val="24"/>
        </w:rPr>
        <w:t>t</w:t>
      </w:r>
      <w:r>
        <w:rPr>
          <w:rFonts w:ascii="Times New Roman" w:hAnsi="Times New Roman" w:cs="Times New Roman"/>
          <w:sz w:val="24"/>
          <w:szCs w:val="24"/>
        </w:rPr>
        <w:t>-statistic = -1.</w:t>
      </w:r>
      <w:r w:rsidR="00ED40D0">
        <w:rPr>
          <w:rFonts w:ascii="Times New Roman" w:hAnsi="Times New Roman" w:cs="Times New Roman"/>
          <w:sz w:val="24"/>
          <w:szCs w:val="24"/>
        </w:rPr>
        <w:t>7545</w:t>
      </w:r>
      <w:r>
        <w:rPr>
          <w:rFonts w:ascii="Times New Roman" w:hAnsi="Times New Roman" w:cs="Times New Roman"/>
          <w:sz w:val="24"/>
          <w:szCs w:val="24"/>
        </w:rPr>
        <w:t>) is negative and marginally significant at the 10% level</w:t>
      </w:r>
      <w:r w:rsidR="00B457E3">
        <w:rPr>
          <w:rFonts w:ascii="Times New Roman" w:hAnsi="Times New Roman" w:cs="Times New Roman"/>
          <w:sz w:val="24"/>
          <w:szCs w:val="24"/>
        </w:rPr>
        <w:t>, indicating that in countries with</w:t>
      </w:r>
      <w:r w:rsidR="004127A9">
        <w:rPr>
          <w:rFonts w:ascii="Times New Roman" w:hAnsi="Times New Roman" w:cs="Times New Roman"/>
          <w:sz w:val="24"/>
          <w:szCs w:val="24"/>
        </w:rPr>
        <w:t xml:space="preserve"> a</w:t>
      </w:r>
      <w:r w:rsidR="00B457E3">
        <w:rPr>
          <w:rFonts w:ascii="Times New Roman" w:hAnsi="Times New Roman" w:cs="Times New Roman"/>
          <w:sz w:val="24"/>
          <w:szCs w:val="24"/>
        </w:rPr>
        <w:t xml:space="preserve"> strong legal regime, earnings management has a greater impact on post</w:t>
      </w:r>
      <w:r w:rsidR="004127A9">
        <w:rPr>
          <w:rFonts w:ascii="Times New Roman" w:hAnsi="Times New Roman" w:cs="Times New Roman"/>
          <w:sz w:val="24"/>
          <w:szCs w:val="24"/>
        </w:rPr>
        <w:t>-</w:t>
      </w:r>
      <w:r w:rsidR="00B457E3">
        <w:rPr>
          <w:rFonts w:ascii="Times New Roman" w:hAnsi="Times New Roman" w:cs="Times New Roman"/>
          <w:sz w:val="24"/>
          <w:szCs w:val="24"/>
        </w:rPr>
        <w:t xml:space="preserve">SEO performance but comparison with the results in Column (3) indicates that this result is explained by the influence of </w:t>
      </w:r>
      <w:r w:rsidR="00B457E3" w:rsidRPr="00F80A26">
        <w:rPr>
          <w:rFonts w:ascii="Times New Roman" w:hAnsi="Times New Roman" w:cs="Times New Roman"/>
          <w:i/>
          <w:sz w:val="24"/>
          <w:szCs w:val="24"/>
        </w:rPr>
        <w:t>RAM</w:t>
      </w:r>
      <w:r>
        <w:rPr>
          <w:rFonts w:ascii="Times New Roman" w:hAnsi="Times New Roman" w:cs="Times New Roman"/>
          <w:sz w:val="24"/>
          <w:szCs w:val="24"/>
        </w:rPr>
        <w:t>.</w:t>
      </w:r>
    </w:p>
    <w:p w14:paraId="635F3AA2" w14:textId="306898A8"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3731E1">
        <w:rPr>
          <w:rFonts w:ascii="Times New Roman" w:hAnsi="Times New Roman" w:cs="Times New Roman"/>
          <w:b/>
          <w:bCs/>
          <w:iCs/>
          <w:sz w:val="24"/>
          <w:szCs w:val="24"/>
        </w:rPr>
        <w:t>6</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about h</w:t>
      </w:r>
      <w:r w:rsidRPr="001D63A3">
        <w:rPr>
          <w:rFonts w:ascii="Times New Roman" w:hAnsi="Times New Roman" w:cs="Times New Roman"/>
          <w:b/>
          <w:bCs/>
          <w:iCs/>
          <w:sz w:val="24"/>
          <w:szCs w:val="24"/>
        </w:rPr>
        <w:t>ere]</w:t>
      </w:r>
    </w:p>
    <w:p w14:paraId="2807843D" w14:textId="4CEEAEBF" w:rsidR="00C1358D" w:rsidRDefault="00C1358D" w:rsidP="008B0EE7">
      <w:pPr>
        <w:spacing w:after="0" w:line="480" w:lineRule="auto"/>
        <w:jc w:val="both"/>
        <w:rPr>
          <w:rFonts w:ascii="Times New Roman" w:hAnsi="Times New Roman" w:cs="Times New Roman"/>
          <w:b/>
          <w:bCs/>
          <w:iCs/>
          <w:sz w:val="24"/>
          <w:szCs w:val="24"/>
        </w:rPr>
      </w:pPr>
      <w:r w:rsidRPr="003A487B">
        <w:rPr>
          <w:rFonts w:ascii="Times New Roman" w:hAnsi="Times New Roman" w:cs="Times New Roman"/>
          <w:b/>
          <w:bCs/>
          <w:iCs/>
          <w:sz w:val="24"/>
          <w:szCs w:val="24"/>
        </w:rPr>
        <w:t xml:space="preserve">5. </w:t>
      </w:r>
      <w:r>
        <w:rPr>
          <w:rFonts w:ascii="Times New Roman" w:hAnsi="Times New Roman" w:cs="Times New Roman"/>
          <w:b/>
          <w:bCs/>
          <w:iCs/>
          <w:sz w:val="24"/>
          <w:szCs w:val="24"/>
        </w:rPr>
        <w:t>Additional analyses</w:t>
      </w:r>
    </w:p>
    <w:p w14:paraId="57594186" w14:textId="37B52A44" w:rsidR="008B0EE7" w:rsidRPr="001578CB" w:rsidRDefault="008B0EE7" w:rsidP="008B0EE7">
      <w:pPr>
        <w:spacing w:after="0" w:line="480" w:lineRule="auto"/>
        <w:jc w:val="both"/>
        <w:rPr>
          <w:rFonts w:ascii="Times New Roman" w:hAnsi="Times New Roman" w:cs="Times New Roman"/>
          <w:i/>
          <w:sz w:val="24"/>
          <w:szCs w:val="24"/>
        </w:rPr>
      </w:pPr>
      <w:r w:rsidRPr="001578CB">
        <w:rPr>
          <w:rFonts w:ascii="Times New Roman" w:hAnsi="Times New Roman" w:cs="Times New Roman"/>
          <w:i/>
          <w:sz w:val="24"/>
          <w:szCs w:val="24"/>
        </w:rPr>
        <w:t>5.</w:t>
      </w:r>
      <w:r w:rsidR="00C1358D" w:rsidRPr="001578CB">
        <w:rPr>
          <w:rFonts w:ascii="Times New Roman" w:hAnsi="Times New Roman" w:cs="Times New Roman"/>
          <w:i/>
          <w:sz w:val="24"/>
          <w:szCs w:val="24"/>
        </w:rPr>
        <w:t>1.</w:t>
      </w:r>
      <w:r w:rsidRPr="001578CB">
        <w:rPr>
          <w:rFonts w:ascii="Times New Roman" w:hAnsi="Times New Roman" w:cs="Times New Roman"/>
          <w:i/>
          <w:sz w:val="24"/>
          <w:szCs w:val="24"/>
        </w:rPr>
        <w:t xml:space="preserve"> </w:t>
      </w:r>
      <w:r w:rsidR="00D4335A" w:rsidRPr="001578CB">
        <w:rPr>
          <w:rFonts w:ascii="Times New Roman" w:hAnsi="Times New Roman" w:cs="Times New Roman"/>
          <w:i/>
          <w:sz w:val="24"/>
          <w:szCs w:val="24"/>
        </w:rPr>
        <w:t>Robustness tests</w:t>
      </w:r>
    </w:p>
    <w:p w14:paraId="1633A85E" w14:textId="062BF18D" w:rsidR="008B0EE7" w:rsidRPr="0039135E" w:rsidRDefault="008B0EE7" w:rsidP="008B0EE7">
      <w:pPr>
        <w:spacing w:after="0" w:line="480" w:lineRule="auto"/>
        <w:jc w:val="both"/>
        <w:rPr>
          <w:rFonts w:ascii="Times New Roman" w:hAnsi="Times New Roman" w:cs="Times New Roman"/>
          <w:iCs/>
          <w:sz w:val="24"/>
          <w:szCs w:val="24"/>
        </w:rPr>
      </w:pPr>
      <w:r w:rsidRPr="0039135E">
        <w:rPr>
          <w:rFonts w:ascii="Times New Roman" w:hAnsi="Times New Roman" w:cs="Times New Roman"/>
          <w:iCs/>
          <w:sz w:val="24"/>
          <w:szCs w:val="24"/>
        </w:rPr>
        <w:t xml:space="preserve">We </w:t>
      </w:r>
      <w:r>
        <w:rPr>
          <w:rFonts w:ascii="Times New Roman" w:hAnsi="Times New Roman" w:cs="Times New Roman"/>
          <w:iCs/>
          <w:sz w:val="24"/>
          <w:szCs w:val="24"/>
        </w:rPr>
        <w:t>perform several robustness tests of our main analyses</w:t>
      </w:r>
      <w:r w:rsidR="00816292">
        <w:rPr>
          <w:rFonts w:ascii="Times New Roman" w:hAnsi="Times New Roman" w:cs="Times New Roman"/>
          <w:iCs/>
          <w:sz w:val="24"/>
          <w:szCs w:val="24"/>
        </w:rPr>
        <w:t xml:space="preserve"> by re-estimation of Equations (1) to (4)</w:t>
      </w:r>
      <w:r>
        <w:rPr>
          <w:rFonts w:ascii="Times New Roman" w:hAnsi="Times New Roman" w:cs="Times New Roman"/>
          <w:iCs/>
          <w:sz w:val="24"/>
          <w:szCs w:val="24"/>
        </w:rPr>
        <w:t xml:space="preserve">. For brevity, we report only the main variables of interest and </w:t>
      </w:r>
      <w:r w:rsidR="00B95597">
        <w:rPr>
          <w:rFonts w:ascii="Times New Roman" w:hAnsi="Times New Roman" w:cs="Times New Roman"/>
          <w:iCs/>
          <w:sz w:val="24"/>
          <w:szCs w:val="24"/>
        </w:rPr>
        <w:t xml:space="preserve">their </w:t>
      </w:r>
      <w:r>
        <w:rPr>
          <w:rFonts w:ascii="Times New Roman" w:hAnsi="Times New Roman" w:cs="Times New Roman"/>
          <w:iCs/>
          <w:sz w:val="24"/>
          <w:szCs w:val="24"/>
        </w:rPr>
        <w:t>test statistics.</w:t>
      </w:r>
    </w:p>
    <w:p w14:paraId="064BB9B7" w14:textId="5794C4FD" w:rsidR="008B0EE7" w:rsidRDefault="008B0EE7" w:rsidP="008B0EE7">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5.1.</w:t>
      </w:r>
      <w:r w:rsidR="00E13937">
        <w:rPr>
          <w:rFonts w:ascii="Times New Roman" w:hAnsi="Times New Roman" w:cs="Times New Roman"/>
          <w:i/>
          <w:iCs/>
          <w:sz w:val="24"/>
          <w:szCs w:val="24"/>
        </w:rPr>
        <w:t>1.</w:t>
      </w:r>
      <w:r>
        <w:rPr>
          <w:rFonts w:ascii="Times New Roman" w:hAnsi="Times New Roman" w:cs="Times New Roman"/>
          <w:i/>
          <w:iCs/>
          <w:sz w:val="24"/>
          <w:szCs w:val="24"/>
        </w:rPr>
        <w:t xml:space="preserve"> Alternative measure</w:t>
      </w:r>
      <w:r w:rsidR="00F55518">
        <w:rPr>
          <w:rFonts w:ascii="Times New Roman" w:hAnsi="Times New Roman" w:cs="Times New Roman"/>
          <w:i/>
          <w:iCs/>
          <w:sz w:val="24"/>
          <w:szCs w:val="24"/>
        </w:rPr>
        <w:t>s</w:t>
      </w:r>
      <w:r>
        <w:rPr>
          <w:rFonts w:ascii="Times New Roman" w:hAnsi="Times New Roman" w:cs="Times New Roman"/>
          <w:i/>
          <w:iCs/>
          <w:sz w:val="24"/>
          <w:szCs w:val="24"/>
        </w:rPr>
        <w:t xml:space="preserve"> of </w:t>
      </w:r>
      <w:r w:rsidR="00CB7F01">
        <w:rPr>
          <w:rFonts w:ascii="Times New Roman" w:hAnsi="Times New Roman" w:cs="Times New Roman"/>
          <w:i/>
          <w:iCs/>
          <w:sz w:val="24"/>
          <w:szCs w:val="24"/>
        </w:rPr>
        <w:t>post-</w:t>
      </w:r>
      <w:r>
        <w:rPr>
          <w:rFonts w:ascii="Times New Roman" w:hAnsi="Times New Roman" w:cs="Times New Roman"/>
          <w:i/>
          <w:iCs/>
          <w:sz w:val="24"/>
          <w:szCs w:val="24"/>
        </w:rPr>
        <w:t>SEO performance</w:t>
      </w:r>
    </w:p>
    <w:p w14:paraId="3762ECD9" w14:textId="1CE188DB" w:rsidR="0009447B" w:rsidRDefault="008B0EE7"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test whether our main results are sensitive to </w:t>
      </w:r>
      <w:r w:rsidR="0081075B">
        <w:rPr>
          <w:rFonts w:ascii="Times New Roman" w:hAnsi="Times New Roman" w:cs="Times New Roman"/>
          <w:sz w:val="24"/>
          <w:szCs w:val="24"/>
        </w:rPr>
        <w:t xml:space="preserve">the </w:t>
      </w:r>
      <w:r w:rsidR="00EE3A24">
        <w:rPr>
          <w:rFonts w:ascii="Times New Roman" w:hAnsi="Times New Roman" w:cs="Times New Roman"/>
          <w:sz w:val="24"/>
          <w:szCs w:val="24"/>
        </w:rPr>
        <w:t xml:space="preserve">choice of the </w:t>
      </w:r>
      <w:r>
        <w:rPr>
          <w:rFonts w:ascii="Times New Roman" w:hAnsi="Times New Roman" w:cs="Times New Roman"/>
          <w:sz w:val="24"/>
          <w:szCs w:val="24"/>
        </w:rPr>
        <w:t xml:space="preserve">measure of </w:t>
      </w:r>
      <w:r w:rsidR="0057469C">
        <w:rPr>
          <w:rFonts w:ascii="Times New Roman" w:hAnsi="Times New Roman" w:cs="Times New Roman"/>
          <w:sz w:val="24"/>
          <w:szCs w:val="24"/>
        </w:rPr>
        <w:t>post-</w:t>
      </w:r>
      <w:r>
        <w:rPr>
          <w:rFonts w:ascii="Times New Roman" w:hAnsi="Times New Roman" w:cs="Times New Roman"/>
          <w:sz w:val="24"/>
          <w:szCs w:val="24"/>
        </w:rPr>
        <w:t xml:space="preserve">SEO performance. </w:t>
      </w:r>
      <w:r w:rsidR="00DD63E1">
        <w:rPr>
          <w:rFonts w:ascii="Times New Roman" w:hAnsi="Times New Roman" w:cs="Times New Roman"/>
          <w:sz w:val="24"/>
          <w:szCs w:val="24"/>
        </w:rPr>
        <w:t xml:space="preserve">The first alternative measure of post-SEO performance we use is </w:t>
      </w:r>
      <w:r>
        <w:rPr>
          <w:rFonts w:ascii="Times New Roman" w:hAnsi="Times New Roman" w:cs="Times New Roman"/>
          <w:sz w:val="24"/>
          <w:szCs w:val="24"/>
        </w:rPr>
        <w:t>adjusted net income</w:t>
      </w:r>
      <w:r w:rsidR="00135D55">
        <w:rPr>
          <w:rFonts w:ascii="Times New Roman" w:hAnsi="Times New Roman" w:cs="Times New Roman"/>
          <w:sz w:val="24"/>
          <w:szCs w:val="24"/>
        </w:rPr>
        <w:t>,</w:t>
      </w:r>
      <w:r>
        <w:rPr>
          <w:rFonts w:ascii="Times New Roman" w:hAnsi="Times New Roman" w:cs="Times New Roman"/>
          <w:sz w:val="24"/>
          <w:szCs w:val="24"/>
        </w:rPr>
        <w:t xml:space="preserve"> calculated as the asset-scaled net income of the SEO firm minus the industry median asset-scaled net income (Teoh et al., 1998). This measure adjusts for changing business conditions in the industry. The results reported in Table 7, </w:t>
      </w:r>
      <w:r w:rsidR="0018417D">
        <w:rPr>
          <w:rFonts w:ascii="Times New Roman" w:hAnsi="Times New Roman" w:cs="Times New Roman"/>
          <w:sz w:val="24"/>
          <w:szCs w:val="24"/>
        </w:rPr>
        <w:t>Columns (1)</w:t>
      </w:r>
      <w:r w:rsidR="00450E50">
        <w:rPr>
          <w:rFonts w:ascii="Times New Roman" w:hAnsi="Times New Roman" w:cs="Times New Roman"/>
          <w:sz w:val="24"/>
          <w:szCs w:val="24"/>
        </w:rPr>
        <w:t xml:space="preserve"> to (4)</w:t>
      </w:r>
      <w:r>
        <w:rPr>
          <w:rFonts w:ascii="Times New Roman" w:hAnsi="Times New Roman" w:cs="Times New Roman"/>
          <w:sz w:val="24"/>
          <w:szCs w:val="24"/>
        </w:rPr>
        <w:t>, are qualitatively similar to our main analyses in terms of</w:t>
      </w:r>
      <w:r w:rsidR="004C24F6">
        <w:rPr>
          <w:rFonts w:ascii="Times New Roman" w:hAnsi="Times New Roman" w:cs="Times New Roman"/>
          <w:sz w:val="24"/>
          <w:szCs w:val="24"/>
        </w:rPr>
        <w:t xml:space="preserve"> both</w:t>
      </w:r>
      <w:r>
        <w:rPr>
          <w:rFonts w:ascii="Times New Roman" w:hAnsi="Times New Roman" w:cs="Times New Roman"/>
          <w:sz w:val="24"/>
          <w:szCs w:val="24"/>
        </w:rPr>
        <w:t xml:space="preserve"> the</w:t>
      </w:r>
      <w:r w:rsidR="004C24F6">
        <w:rPr>
          <w:rFonts w:ascii="Times New Roman" w:hAnsi="Times New Roman" w:cs="Times New Roman"/>
          <w:sz w:val="24"/>
          <w:szCs w:val="24"/>
        </w:rPr>
        <w:t xml:space="preserve"> sign</w:t>
      </w:r>
      <w:r>
        <w:rPr>
          <w:rFonts w:ascii="Times New Roman" w:hAnsi="Times New Roman" w:cs="Times New Roman"/>
          <w:sz w:val="24"/>
          <w:szCs w:val="24"/>
        </w:rPr>
        <w:t xml:space="preserve"> and level of significance</w:t>
      </w:r>
      <w:r w:rsidR="00B94B47">
        <w:rPr>
          <w:rFonts w:ascii="Times New Roman" w:hAnsi="Times New Roman" w:cs="Times New Roman"/>
          <w:sz w:val="24"/>
          <w:szCs w:val="24"/>
        </w:rPr>
        <w:t xml:space="preserve"> of the coefficients and thus consistent with Hypotheses H1 and H2</w:t>
      </w:r>
      <w:r>
        <w:rPr>
          <w:rFonts w:ascii="Times New Roman" w:hAnsi="Times New Roman" w:cs="Times New Roman"/>
          <w:sz w:val="24"/>
          <w:szCs w:val="24"/>
        </w:rPr>
        <w:t>.</w:t>
      </w:r>
    </w:p>
    <w:p w14:paraId="2220533C" w14:textId="3CD9790F" w:rsidR="008B0EE7" w:rsidRDefault="00E47073">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004A6E62">
        <w:rPr>
          <w:rFonts w:ascii="Times New Roman" w:hAnsi="Times New Roman" w:cs="Times New Roman"/>
          <w:sz w:val="24"/>
          <w:szCs w:val="24"/>
        </w:rPr>
        <w:t xml:space="preserve">we measure post-SEO performance using a </w:t>
      </w:r>
      <w:r w:rsidR="00A65827">
        <w:rPr>
          <w:rFonts w:ascii="Times New Roman" w:hAnsi="Times New Roman" w:cs="Times New Roman"/>
          <w:sz w:val="24"/>
          <w:szCs w:val="24"/>
        </w:rPr>
        <w:t>market-based</w:t>
      </w:r>
      <w:r w:rsidR="004A6E62">
        <w:rPr>
          <w:rFonts w:ascii="Times New Roman" w:hAnsi="Times New Roman" w:cs="Times New Roman"/>
          <w:sz w:val="24"/>
          <w:szCs w:val="24"/>
        </w:rPr>
        <w:t xml:space="preserve"> measure</w:t>
      </w:r>
      <w:r w:rsidR="00BA3D99">
        <w:rPr>
          <w:rFonts w:ascii="Times New Roman" w:hAnsi="Times New Roman" w:cs="Times New Roman"/>
          <w:sz w:val="24"/>
          <w:szCs w:val="24"/>
        </w:rPr>
        <w:t xml:space="preserve"> following Rang</w:t>
      </w:r>
      <w:r w:rsidR="00BA6228">
        <w:rPr>
          <w:rFonts w:ascii="Times New Roman" w:hAnsi="Times New Roman" w:cs="Times New Roman"/>
          <w:sz w:val="24"/>
          <w:szCs w:val="24"/>
        </w:rPr>
        <w:t xml:space="preserve">an </w:t>
      </w:r>
      <w:r w:rsidR="008B0D0A">
        <w:rPr>
          <w:rFonts w:ascii="Times New Roman" w:hAnsi="Times New Roman" w:cs="Times New Roman"/>
          <w:sz w:val="24"/>
          <w:szCs w:val="24"/>
        </w:rPr>
        <w:t>(1998)</w:t>
      </w:r>
      <w:r w:rsidR="007F1FB7">
        <w:rPr>
          <w:rStyle w:val="FootnoteReference"/>
          <w:rFonts w:ascii="Times New Roman" w:hAnsi="Times New Roman" w:cs="Times New Roman"/>
          <w:sz w:val="24"/>
          <w:szCs w:val="24"/>
        </w:rPr>
        <w:footnoteReference w:id="2"/>
      </w:r>
      <w:r w:rsidR="00BA3D99">
        <w:rPr>
          <w:rFonts w:ascii="Times New Roman" w:hAnsi="Times New Roman" w:cs="Times New Roman"/>
          <w:sz w:val="24"/>
          <w:szCs w:val="24"/>
        </w:rPr>
        <w:t>.</w:t>
      </w:r>
      <w:r w:rsidR="00C555AF">
        <w:rPr>
          <w:rFonts w:ascii="Times New Roman" w:hAnsi="Times New Roman" w:cs="Times New Roman"/>
          <w:sz w:val="24"/>
          <w:szCs w:val="24"/>
        </w:rPr>
        <w:t xml:space="preserve"> B</w:t>
      </w:r>
      <w:r w:rsidR="00C36FB9">
        <w:rPr>
          <w:rFonts w:ascii="Times New Roman" w:hAnsi="Times New Roman" w:cs="Times New Roman"/>
          <w:sz w:val="24"/>
          <w:szCs w:val="24"/>
        </w:rPr>
        <w:t xml:space="preserve">ecause </w:t>
      </w:r>
      <w:r w:rsidR="003329D4">
        <w:rPr>
          <w:rFonts w:ascii="Times New Roman" w:hAnsi="Times New Roman" w:cs="Times New Roman"/>
          <w:sz w:val="24"/>
          <w:szCs w:val="24"/>
        </w:rPr>
        <w:t xml:space="preserve">earnings declines associated with earnings management are concentrated in year 1 after </w:t>
      </w:r>
      <w:r w:rsidR="004B1118">
        <w:rPr>
          <w:rFonts w:ascii="Times New Roman" w:hAnsi="Times New Roman" w:cs="Times New Roman"/>
          <w:sz w:val="24"/>
          <w:szCs w:val="24"/>
        </w:rPr>
        <w:t xml:space="preserve">the </w:t>
      </w:r>
      <w:r w:rsidR="003329D4">
        <w:rPr>
          <w:rFonts w:ascii="Times New Roman" w:hAnsi="Times New Roman" w:cs="Times New Roman"/>
          <w:sz w:val="24"/>
          <w:szCs w:val="24"/>
        </w:rPr>
        <w:t xml:space="preserve">SEO, we focus on stock returns in </w:t>
      </w:r>
      <w:r w:rsidR="00835711">
        <w:rPr>
          <w:rFonts w:ascii="Times New Roman" w:hAnsi="Times New Roman" w:cs="Times New Roman"/>
          <w:sz w:val="24"/>
          <w:szCs w:val="24"/>
        </w:rPr>
        <w:t>that year.</w:t>
      </w:r>
      <w:r w:rsidR="00E323CC">
        <w:rPr>
          <w:rFonts w:ascii="Times New Roman" w:hAnsi="Times New Roman" w:cs="Times New Roman"/>
          <w:sz w:val="24"/>
          <w:szCs w:val="24"/>
        </w:rPr>
        <w:t xml:space="preserve"> We compute</w:t>
      </w:r>
      <w:r w:rsidR="001156E7">
        <w:rPr>
          <w:rFonts w:ascii="Times New Roman" w:hAnsi="Times New Roman" w:cs="Times New Roman"/>
          <w:sz w:val="24"/>
          <w:szCs w:val="24"/>
        </w:rPr>
        <w:t xml:space="preserve"> the full-year </w:t>
      </w:r>
      <w:r w:rsidR="008825AF">
        <w:rPr>
          <w:rFonts w:ascii="Times New Roman" w:hAnsi="Times New Roman" w:cs="Times New Roman"/>
          <w:sz w:val="24"/>
          <w:szCs w:val="24"/>
        </w:rPr>
        <w:t xml:space="preserve">market-adjusted </w:t>
      </w:r>
      <w:r w:rsidR="001156E7">
        <w:rPr>
          <w:rFonts w:ascii="Times New Roman" w:hAnsi="Times New Roman" w:cs="Times New Roman"/>
          <w:sz w:val="24"/>
          <w:szCs w:val="24"/>
        </w:rPr>
        <w:t>return for year 1</w:t>
      </w:r>
      <w:r w:rsidR="00143883">
        <w:rPr>
          <w:rFonts w:ascii="Times New Roman" w:hAnsi="Times New Roman" w:cs="Times New Roman"/>
          <w:sz w:val="24"/>
          <w:szCs w:val="24"/>
        </w:rPr>
        <w:t xml:space="preserve"> post-SEO.</w:t>
      </w:r>
      <w:r w:rsidR="00E72281">
        <w:rPr>
          <w:rFonts w:ascii="Times New Roman" w:hAnsi="Times New Roman" w:cs="Times New Roman"/>
          <w:sz w:val="24"/>
          <w:szCs w:val="24"/>
        </w:rPr>
        <w:t xml:space="preserve"> The results </w:t>
      </w:r>
      <w:r w:rsidR="00B01383">
        <w:rPr>
          <w:rFonts w:ascii="Times New Roman" w:hAnsi="Times New Roman" w:cs="Times New Roman"/>
          <w:sz w:val="24"/>
          <w:szCs w:val="24"/>
        </w:rPr>
        <w:t>are reported in Table 7</w:t>
      </w:r>
      <w:r w:rsidR="00E810CB">
        <w:rPr>
          <w:rFonts w:ascii="Times New Roman" w:hAnsi="Times New Roman" w:cs="Times New Roman"/>
          <w:sz w:val="24"/>
          <w:szCs w:val="24"/>
        </w:rPr>
        <w:t>, Columns (5) to (8).</w:t>
      </w:r>
      <w:r w:rsidR="00611FFC">
        <w:rPr>
          <w:rFonts w:ascii="Times New Roman" w:hAnsi="Times New Roman" w:cs="Times New Roman"/>
          <w:sz w:val="24"/>
          <w:szCs w:val="24"/>
        </w:rPr>
        <w:t xml:space="preserve"> Column (</w:t>
      </w:r>
      <w:r w:rsidR="0055313C">
        <w:rPr>
          <w:rFonts w:ascii="Times New Roman" w:hAnsi="Times New Roman" w:cs="Times New Roman"/>
          <w:sz w:val="24"/>
          <w:szCs w:val="24"/>
        </w:rPr>
        <w:t>5</w:t>
      </w:r>
      <w:r w:rsidR="00611FFC">
        <w:rPr>
          <w:rFonts w:ascii="Times New Roman" w:hAnsi="Times New Roman" w:cs="Times New Roman"/>
          <w:sz w:val="24"/>
          <w:szCs w:val="24"/>
        </w:rPr>
        <w:t>)</w:t>
      </w:r>
      <w:r w:rsidR="00B901B8">
        <w:rPr>
          <w:rFonts w:ascii="Times New Roman" w:hAnsi="Times New Roman" w:cs="Times New Roman"/>
          <w:sz w:val="24"/>
          <w:szCs w:val="24"/>
        </w:rPr>
        <w:t xml:space="preserve"> shows that</w:t>
      </w:r>
      <w:r w:rsidR="00611FFC">
        <w:rPr>
          <w:rFonts w:ascii="Times New Roman" w:hAnsi="Times New Roman" w:cs="Times New Roman"/>
          <w:sz w:val="24"/>
          <w:szCs w:val="24"/>
        </w:rPr>
        <w:t xml:space="preserve"> the coefficient on </w:t>
      </w:r>
      <w:r w:rsidR="00611FFC" w:rsidRPr="002A6AF0">
        <w:rPr>
          <w:rFonts w:ascii="Times New Roman" w:hAnsi="Times New Roman" w:cs="Times New Roman"/>
          <w:i/>
          <w:iCs/>
          <w:sz w:val="24"/>
          <w:szCs w:val="24"/>
        </w:rPr>
        <w:t>AEM</w:t>
      </w:r>
      <w:r w:rsidR="00611FFC">
        <w:rPr>
          <w:rFonts w:ascii="Times New Roman" w:hAnsi="Times New Roman" w:cs="Times New Roman"/>
          <w:sz w:val="24"/>
          <w:szCs w:val="24"/>
        </w:rPr>
        <w:t xml:space="preserve"> </w:t>
      </w:r>
      <w:r w:rsidR="00B901B8">
        <w:rPr>
          <w:rFonts w:ascii="Times New Roman" w:hAnsi="Times New Roman" w:cs="Times New Roman"/>
          <w:sz w:val="24"/>
          <w:szCs w:val="24"/>
        </w:rPr>
        <w:t>(coefficient</w:t>
      </w:r>
      <w:r w:rsidR="00747A67">
        <w:rPr>
          <w:rFonts w:ascii="Times New Roman" w:hAnsi="Times New Roman" w:cs="Times New Roman"/>
          <w:sz w:val="24"/>
          <w:szCs w:val="24"/>
        </w:rPr>
        <w:t xml:space="preserve"> </w:t>
      </w:r>
      <w:r w:rsidR="00611FFC">
        <w:rPr>
          <w:rFonts w:ascii="Times New Roman" w:hAnsi="Times New Roman" w:cs="Times New Roman"/>
          <w:sz w:val="24"/>
          <w:szCs w:val="24"/>
        </w:rPr>
        <w:t>-0.0</w:t>
      </w:r>
      <w:r w:rsidR="007C2B86">
        <w:rPr>
          <w:rFonts w:ascii="Times New Roman" w:hAnsi="Times New Roman" w:cs="Times New Roman"/>
          <w:sz w:val="24"/>
          <w:szCs w:val="24"/>
        </w:rPr>
        <w:t>384</w:t>
      </w:r>
      <w:r w:rsidR="00747A67">
        <w:rPr>
          <w:rFonts w:ascii="Times New Roman" w:hAnsi="Times New Roman" w:cs="Times New Roman"/>
          <w:sz w:val="24"/>
          <w:szCs w:val="24"/>
        </w:rPr>
        <w:t xml:space="preserve">, </w:t>
      </w:r>
      <w:r w:rsidR="00611FFC" w:rsidRPr="002A6AF0">
        <w:rPr>
          <w:rFonts w:ascii="Times New Roman" w:hAnsi="Times New Roman" w:cs="Times New Roman"/>
          <w:i/>
          <w:iCs/>
          <w:sz w:val="24"/>
          <w:szCs w:val="24"/>
        </w:rPr>
        <w:t>t</w:t>
      </w:r>
      <w:r w:rsidR="00611FFC">
        <w:rPr>
          <w:rFonts w:ascii="Times New Roman" w:hAnsi="Times New Roman" w:cs="Times New Roman"/>
          <w:sz w:val="24"/>
          <w:szCs w:val="24"/>
        </w:rPr>
        <w:t>-statistic = -</w:t>
      </w:r>
      <w:r w:rsidR="006C1CA8">
        <w:rPr>
          <w:rFonts w:ascii="Times New Roman" w:hAnsi="Times New Roman" w:cs="Times New Roman"/>
          <w:sz w:val="24"/>
          <w:szCs w:val="24"/>
        </w:rPr>
        <w:t>0.7404</w:t>
      </w:r>
      <w:r w:rsidR="00611FFC">
        <w:rPr>
          <w:rFonts w:ascii="Times New Roman" w:hAnsi="Times New Roman" w:cs="Times New Roman"/>
          <w:sz w:val="24"/>
          <w:szCs w:val="24"/>
        </w:rPr>
        <w:t xml:space="preserve">) and </w:t>
      </w:r>
      <w:r w:rsidR="00991C6F">
        <w:rPr>
          <w:rFonts w:ascii="Times New Roman" w:hAnsi="Times New Roman" w:cs="Times New Roman"/>
          <w:sz w:val="24"/>
          <w:szCs w:val="24"/>
        </w:rPr>
        <w:t xml:space="preserve">on </w:t>
      </w:r>
      <w:r w:rsidR="00611FFC" w:rsidRPr="002A6AF0">
        <w:rPr>
          <w:rFonts w:ascii="Times New Roman" w:hAnsi="Times New Roman" w:cs="Times New Roman"/>
          <w:i/>
          <w:iCs/>
          <w:sz w:val="24"/>
          <w:szCs w:val="24"/>
        </w:rPr>
        <w:t>RAM</w:t>
      </w:r>
      <w:r w:rsidR="00611FFC">
        <w:rPr>
          <w:rFonts w:ascii="Times New Roman" w:hAnsi="Times New Roman" w:cs="Times New Roman"/>
          <w:sz w:val="24"/>
          <w:szCs w:val="24"/>
        </w:rPr>
        <w:t xml:space="preserve"> </w:t>
      </w:r>
      <w:r w:rsidR="00AB1114">
        <w:rPr>
          <w:rFonts w:ascii="Times New Roman" w:hAnsi="Times New Roman" w:cs="Times New Roman"/>
          <w:sz w:val="24"/>
          <w:szCs w:val="24"/>
        </w:rPr>
        <w:t xml:space="preserve">(coefficient </w:t>
      </w:r>
      <w:r w:rsidR="00611FFC">
        <w:rPr>
          <w:rFonts w:ascii="Times New Roman" w:hAnsi="Times New Roman" w:cs="Times New Roman"/>
          <w:sz w:val="24"/>
          <w:szCs w:val="24"/>
        </w:rPr>
        <w:t>-0.1</w:t>
      </w:r>
      <w:r w:rsidR="006C1CA8">
        <w:rPr>
          <w:rFonts w:ascii="Times New Roman" w:hAnsi="Times New Roman" w:cs="Times New Roman"/>
          <w:sz w:val="24"/>
          <w:szCs w:val="24"/>
        </w:rPr>
        <w:t>38</w:t>
      </w:r>
      <w:r w:rsidR="00611FFC">
        <w:rPr>
          <w:rFonts w:ascii="Times New Roman" w:hAnsi="Times New Roman" w:cs="Times New Roman"/>
          <w:sz w:val="24"/>
          <w:szCs w:val="24"/>
        </w:rPr>
        <w:t>1</w:t>
      </w:r>
      <w:r w:rsidR="0064140A">
        <w:rPr>
          <w:rFonts w:ascii="Times New Roman" w:hAnsi="Times New Roman" w:cs="Times New Roman"/>
          <w:sz w:val="24"/>
          <w:szCs w:val="24"/>
        </w:rPr>
        <w:t xml:space="preserve">, </w:t>
      </w:r>
      <w:r w:rsidR="00611FFC" w:rsidRPr="002A6AF0">
        <w:rPr>
          <w:rFonts w:ascii="Times New Roman" w:hAnsi="Times New Roman" w:cs="Times New Roman"/>
          <w:i/>
          <w:iCs/>
          <w:sz w:val="24"/>
          <w:szCs w:val="24"/>
        </w:rPr>
        <w:t>t</w:t>
      </w:r>
      <w:r w:rsidR="00611FFC">
        <w:rPr>
          <w:rFonts w:ascii="Times New Roman" w:hAnsi="Times New Roman" w:cs="Times New Roman"/>
          <w:sz w:val="24"/>
          <w:szCs w:val="24"/>
        </w:rPr>
        <w:t>-statistic = -</w:t>
      </w:r>
      <w:r w:rsidR="006C1CA8">
        <w:rPr>
          <w:rFonts w:ascii="Times New Roman" w:hAnsi="Times New Roman" w:cs="Times New Roman"/>
          <w:sz w:val="24"/>
          <w:szCs w:val="24"/>
        </w:rPr>
        <w:t>2.</w:t>
      </w:r>
      <w:r w:rsidR="001E3B3F">
        <w:rPr>
          <w:rFonts w:ascii="Times New Roman" w:hAnsi="Times New Roman" w:cs="Times New Roman"/>
          <w:sz w:val="24"/>
          <w:szCs w:val="24"/>
        </w:rPr>
        <w:t>6524</w:t>
      </w:r>
      <w:r w:rsidR="00611FFC">
        <w:rPr>
          <w:rFonts w:ascii="Times New Roman" w:hAnsi="Times New Roman" w:cs="Times New Roman"/>
          <w:sz w:val="24"/>
          <w:szCs w:val="24"/>
        </w:rPr>
        <w:t>)</w:t>
      </w:r>
      <w:r w:rsidR="00873D67">
        <w:rPr>
          <w:rFonts w:ascii="Times New Roman" w:hAnsi="Times New Roman" w:cs="Times New Roman"/>
          <w:sz w:val="24"/>
          <w:szCs w:val="24"/>
        </w:rPr>
        <w:t xml:space="preserve"> </w:t>
      </w:r>
      <w:r w:rsidR="006D37E2">
        <w:rPr>
          <w:rFonts w:ascii="Times New Roman" w:hAnsi="Times New Roman" w:cs="Times New Roman"/>
          <w:sz w:val="24"/>
          <w:szCs w:val="24"/>
        </w:rPr>
        <w:t xml:space="preserve">are both negative but only that on </w:t>
      </w:r>
      <w:r w:rsidR="006D37E2" w:rsidRPr="00F80A26">
        <w:rPr>
          <w:rFonts w:ascii="Times New Roman" w:hAnsi="Times New Roman" w:cs="Times New Roman"/>
          <w:i/>
          <w:sz w:val="24"/>
          <w:szCs w:val="24"/>
        </w:rPr>
        <w:t>RAM</w:t>
      </w:r>
      <w:r w:rsidR="006D37E2" w:rsidRPr="008A3A08">
        <w:rPr>
          <w:rFonts w:ascii="Times New Roman" w:hAnsi="Times New Roman" w:cs="Times New Roman"/>
          <w:sz w:val="24"/>
          <w:szCs w:val="24"/>
        </w:rPr>
        <w:t xml:space="preserve"> </w:t>
      </w:r>
      <w:r w:rsidR="006D37E2">
        <w:rPr>
          <w:rFonts w:ascii="Times New Roman" w:hAnsi="Times New Roman" w:cs="Times New Roman"/>
          <w:sz w:val="24"/>
          <w:szCs w:val="24"/>
        </w:rPr>
        <w:t xml:space="preserve">is statistically </w:t>
      </w:r>
      <w:r w:rsidR="00611FFC">
        <w:rPr>
          <w:rFonts w:ascii="Times New Roman" w:hAnsi="Times New Roman" w:cs="Times New Roman"/>
          <w:sz w:val="24"/>
          <w:szCs w:val="24"/>
        </w:rPr>
        <w:t xml:space="preserve">significant </w:t>
      </w:r>
      <w:r w:rsidR="00E433AA">
        <w:rPr>
          <w:rFonts w:ascii="Times New Roman" w:hAnsi="Times New Roman" w:cs="Times New Roman"/>
          <w:sz w:val="24"/>
          <w:szCs w:val="24"/>
        </w:rPr>
        <w:t>(</w:t>
      </w:r>
      <w:r w:rsidR="00611FFC">
        <w:rPr>
          <w:rFonts w:ascii="Times New Roman" w:hAnsi="Times New Roman" w:cs="Times New Roman"/>
          <w:sz w:val="24"/>
          <w:szCs w:val="24"/>
        </w:rPr>
        <w:t>at the 1% level</w:t>
      </w:r>
      <w:r w:rsidR="00E433AA">
        <w:rPr>
          <w:rFonts w:ascii="Times New Roman" w:hAnsi="Times New Roman" w:cs="Times New Roman"/>
          <w:sz w:val="24"/>
          <w:szCs w:val="24"/>
        </w:rPr>
        <w:t>)</w:t>
      </w:r>
      <w:r w:rsidR="00611FFC">
        <w:rPr>
          <w:rFonts w:ascii="Times New Roman" w:hAnsi="Times New Roman" w:cs="Times New Roman"/>
          <w:sz w:val="24"/>
          <w:szCs w:val="24"/>
        </w:rPr>
        <w:t xml:space="preserve">. This </w:t>
      </w:r>
      <w:r w:rsidR="007D3C7B">
        <w:rPr>
          <w:rFonts w:ascii="Times New Roman" w:hAnsi="Times New Roman" w:cs="Times New Roman"/>
          <w:sz w:val="24"/>
          <w:szCs w:val="24"/>
        </w:rPr>
        <w:t xml:space="preserve">is consistent with Hypothesis H1, that </w:t>
      </w:r>
      <w:r w:rsidR="00611FFC" w:rsidRPr="002A6AF0">
        <w:rPr>
          <w:rFonts w:ascii="Times New Roman" w:hAnsi="Times New Roman" w:cs="Times New Roman"/>
          <w:i/>
          <w:iCs/>
          <w:sz w:val="24"/>
          <w:szCs w:val="24"/>
        </w:rPr>
        <w:t>RAM</w:t>
      </w:r>
      <w:r w:rsidR="00611FFC">
        <w:rPr>
          <w:rFonts w:ascii="Times New Roman" w:hAnsi="Times New Roman" w:cs="Times New Roman"/>
          <w:sz w:val="24"/>
          <w:szCs w:val="24"/>
        </w:rPr>
        <w:t xml:space="preserve"> </w:t>
      </w:r>
      <w:r w:rsidR="00875A22">
        <w:rPr>
          <w:rFonts w:ascii="Times New Roman" w:hAnsi="Times New Roman" w:cs="Times New Roman"/>
          <w:sz w:val="24"/>
          <w:szCs w:val="24"/>
        </w:rPr>
        <w:t xml:space="preserve">has </w:t>
      </w:r>
      <w:r w:rsidR="00F45169">
        <w:rPr>
          <w:rFonts w:ascii="Times New Roman" w:hAnsi="Times New Roman" w:cs="Times New Roman"/>
          <w:sz w:val="24"/>
          <w:szCs w:val="24"/>
        </w:rPr>
        <w:t>a</w:t>
      </w:r>
      <w:r w:rsidR="005777EE">
        <w:rPr>
          <w:rFonts w:ascii="Times New Roman" w:hAnsi="Times New Roman" w:cs="Times New Roman"/>
          <w:sz w:val="24"/>
          <w:szCs w:val="24"/>
        </w:rPr>
        <w:t xml:space="preserve"> greater</w:t>
      </w:r>
      <w:r w:rsidR="00875A22">
        <w:rPr>
          <w:rFonts w:ascii="Times New Roman" w:hAnsi="Times New Roman" w:cs="Times New Roman"/>
          <w:sz w:val="24"/>
          <w:szCs w:val="24"/>
        </w:rPr>
        <w:t xml:space="preserve"> impact on</w:t>
      </w:r>
      <w:r w:rsidR="00611FFC">
        <w:rPr>
          <w:rFonts w:ascii="Times New Roman" w:hAnsi="Times New Roman" w:cs="Times New Roman"/>
          <w:sz w:val="24"/>
          <w:szCs w:val="24"/>
        </w:rPr>
        <w:t xml:space="preserve"> post-SEO performance. In Column (</w:t>
      </w:r>
      <w:r w:rsidR="0055313C">
        <w:rPr>
          <w:rFonts w:ascii="Times New Roman" w:hAnsi="Times New Roman" w:cs="Times New Roman"/>
          <w:sz w:val="24"/>
          <w:szCs w:val="24"/>
        </w:rPr>
        <w:t>6</w:t>
      </w:r>
      <w:r w:rsidR="00611FFC">
        <w:rPr>
          <w:rFonts w:ascii="Times New Roman" w:hAnsi="Times New Roman" w:cs="Times New Roman"/>
          <w:sz w:val="24"/>
          <w:szCs w:val="24"/>
        </w:rPr>
        <w:t xml:space="preserve">), the coefficient on </w:t>
      </w:r>
      <w:r w:rsidR="00611FFC" w:rsidRPr="002A6AF0">
        <w:rPr>
          <w:rFonts w:ascii="Times New Roman" w:hAnsi="Times New Roman" w:cs="Times New Roman"/>
          <w:i/>
          <w:iCs/>
          <w:sz w:val="24"/>
          <w:szCs w:val="24"/>
        </w:rPr>
        <w:t>TAR</w:t>
      </w:r>
      <w:r w:rsidR="00611FFC">
        <w:rPr>
          <w:rFonts w:ascii="Times New Roman" w:hAnsi="Times New Roman" w:cs="Times New Roman"/>
          <w:sz w:val="24"/>
          <w:szCs w:val="24"/>
        </w:rPr>
        <w:t xml:space="preserve"> is -0.04</w:t>
      </w:r>
      <w:r w:rsidR="00B338DE">
        <w:rPr>
          <w:rFonts w:ascii="Times New Roman" w:hAnsi="Times New Roman" w:cs="Times New Roman"/>
          <w:sz w:val="24"/>
          <w:szCs w:val="24"/>
        </w:rPr>
        <w:t>94</w:t>
      </w:r>
      <w:r w:rsidR="00611FFC">
        <w:rPr>
          <w:rFonts w:ascii="Times New Roman" w:hAnsi="Times New Roman" w:cs="Times New Roman"/>
          <w:sz w:val="24"/>
          <w:szCs w:val="24"/>
        </w:rPr>
        <w:t xml:space="preserve"> (</w:t>
      </w:r>
      <w:r w:rsidR="00611FFC" w:rsidRPr="002A6AF0">
        <w:rPr>
          <w:rFonts w:ascii="Times New Roman" w:hAnsi="Times New Roman" w:cs="Times New Roman"/>
          <w:i/>
          <w:iCs/>
          <w:sz w:val="24"/>
          <w:szCs w:val="24"/>
        </w:rPr>
        <w:t>t</w:t>
      </w:r>
      <w:r w:rsidR="00611FFC">
        <w:rPr>
          <w:rFonts w:ascii="Times New Roman" w:hAnsi="Times New Roman" w:cs="Times New Roman"/>
          <w:sz w:val="24"/>
          <w:szCs w:val="24"/>
        </w:rPr>
        <w:t>-statistic = -1.9</w:t>
      </w:r>
      <w:r w:rsidR="00B338DE">
        <w:rPr>
          <w:rFonts w:ascii="Times New Roman" w:hAnsi="Times New Roman" w:cs="Times New Roman"/>
          <w:sz w:val="24"/>
          <w:szCs w:val="24"/>
        </w:rPr>
        <w:t>287</w:t>
      </w:r>
      <w:r w:rsidR="00611FFC">
        <w:rPr>
          <w:rFonts w:ascii="Times New Roman" w:hAnsi="Times New Roman" w:cs="Times New Roman"/>
          <w:sz w:val="24"/>
          <w:szCs w:val="24"/>
        </w:rPr>
        <w:t xml:space="preserve">) and is </w:t>
      </w:r>
      <w:r w:rsidR="000F5504">
        <w:rPr>
          <w:rFonts w:ascii="Times New Roman" w:hAnsi="Times New Roman" w:cs="Times New Roman"/>
          <w:sz w:val="24"/>
          <w:szCs w:val="24"/>
        </w:rPr>
        <w:t xml:space="preserve">marginally </w:t>
      </w:r>
      <w:r w:rsidR="00611FFC">
        <w:rPr>
          <w:rFonts w:ascii="Times New Roman" w:hAnsi="Times New Roman" w:cs="Times New Roman"/>
          <w:sz w:val="24"/>
          <w:szCs w:val="24"/>
        </w:rPr>
        <w:t>statistically significant at the 1</w:t>
      </w:r>
      <w:r w:rsidR="000F5504">
        <w:rPr>
          <w:rFonts w:ascii="Times New Roman" w:hAnsi="Times New Roman" w:cs="Times New Roman"/>
          <w:sz w:val="24"/>
          <w:szCs w:val="24"/>
        </w:rPr>
        <w:t>0</w:t>
      </w:r>
      <w:r w:rsidR="00611FFC">
        <w:rPr>
          <w:rFonts w:ascii="Times New Roman" w:hAnsi="Times New Roman" w:cs="Times New Roman"/>
          <w:sz w:val="24"/>
          <w:szCs w:val="24"/>
        </w:rPr>
        <w:t xml:space="preserve">% level. This implies that </w:t>
      </w:r>
      <w:r w:rsidR="008745EE">
        <w:rPr>
          <w:rFonts w:ascii="Times New Roman" w:hAnsi="Times New Roman" w:cs="Times New Roman"/>
          <w:sz w:val="24"/>
          <w:szCs w:val="24"/>
        </w:rPr>
        <w:t>the combination of</w:t>
      </w:r>
      <w:r w:rsidR="00611FFC">
        <w:rPr>
          <w:rFonts w:ascii="Times New Roman" w:hAnsi="Times New Roman" w:cs="Times New Roman"/>
          <w:sz w:val="24"/>
          <w:szCs w:val="24"/>
        </w:rPr>
        <w:t xml:space="preserve"> earnings management practices ha</w:t>
      </w:r>
      <w:r w:rsidR="00602E1E">
        <w:rPr>
          <w:rFonts w:ascii="Times New Roman" w:hAnsi="Times New Roman" w:cs="Times New Roman"/>
          <w:sz w:val="24"/>
          <w:szCs w:val="24"/>
        </w:rPr>
        <w:t>s</w:t>
      </w:r>
      <w:r w:rsidR="00611FFC">
        <w:rPr>
          <w:rFonts w:ascii="Times New Roman" w:hAnsi="Times New Roman" w:cs="Times New Roman"/>
          <w:sz w:val="24"/>
          <w:szCs w:val="24"/>
        </w:rPr>
        <w:t xml:space="preserve"> a negative effect on post-SEO performance.</w:t>
      </w:r>
      <w:r w:rsidR="0055313C" w:rsidRPr="0055313C">
        <w:rPr>
          <w:rFonts w:ascii="Times New Roman" w:hAnsi="Times New Roman" w:cs="Times New Roman"/>
          <w:sz w:val="24"/>
          <w:szCs w:val="24"/>
        </w:rPr>
        <w:t xml:space="preserve"> </w:t>
      </w:r>
      <w:r w:rsidR="0055313C" w:rsidRPr="00435D3D">
        <w:rPr>
          <w:rFonts w:ascii="Times New Roman" w:hAnsi="Times New Roman" w:cs="Times New Roman"/>
          <w:sz w:val="24"/>
          <w:szCs w:val="24"/>
        </w:rPr>
        <w:t>In Column (</w:t>
      </w:r>
      <w:r w:rsidR="006654A3" w:rsidRPr="00435D3D">
        <w:rPr>
          <w:rFonts w:ascii="Times New Roman" w:hAnsi="Times New Roman" w:cs="Times New Roman"/>
          <w:sz w:val="24"/>
          <w:szCs w:val="24"/>
        </w:rPr>
        <w:t>7</w:t>
      </w:r>
      <w:r w:rsidR="0055313C" w:rsidRPr="00435D3D">
        <w:rPr>
          <w:rFonts w:ascii="Times New Roman" w:hAnsi="Times New Roman" w:cs="Times New Roman"/>
          <w:sz w:val="24"/>
          <w:szCs w:val="24"/>
        </w:rPr>
        <w:t xml:space="preserve">), the coefficient on </w:t>
      </w:r>
      <w:r w:rsidR="0055313C" w:rsidRPr="00435D3D">
        <w:rPr>
          <w:rFonts w:ascii="Times New Roman" w:hAnsi="Times New Roman" w:cs="Times New Roman"/>
          <w:i/>
          <w:iCs/>
          <w:sz w:val="24"/>
          <w:szCs w:val="24"/>
        </w:rPr>
        <w:t>AEM*LAW</w:t>
      </w:r>
      <w:r w:rsidR="0055313C" w:rsidRPr="00435D3D">
        <w:rPr>
          <w:rFonts w:ascii="Times New Roman" w:hAnsi="Times New Roman" w:cs="Times New Roman"/>
          <w:sz w:val="24"/>
          <w:szCs w:val="24"/>
        </w:rPr>
        <w:t xml:space="preserve"> (coefficient -0.</w:t>
      </w:r>
      <w:r w:rsidR="00A72052" w:rsidRPr="00435D3D">
        <w:rPr>
          <w:rFonts w:ascii="Times New Roman" w:hAnsi="Times New Roman" w:cs="Times New Roman"/>
          <w:sz w:val="24"/>
          <w:szCs w:val="24"/>
        </w:rPr>
        <w:t>2310</w:t>
      </w:r>
      <w:r w:rsidR="0055313C" w:rsidRPr="00435D3D">
        <w:rPr>
          <w:rFonts w:ascii="Times New Roman" w:hAnsi="Times New Roman" w:cs="Times New Roman"/>
          <w:sz w:val="24"/>
          <w:szCs w:val="24"/>
        </w:rPr>
        <w:t xml:space="preserve">, </w:t>
      </w:r>
      <w:r w:rsidR="0055313C" w:rsidRPr="00435D3D">
        <w:rPr>
          <w:rFonts w:ascii="Times New Roman" w:hAnsi="Times New Roman" w:cs="Times New Roman"/>
          <w:i/>
          <w:iCs/>
          <w:sz w:val="24"/>
          <w:szCs w:val="24"/>
        </w:rPr>
        <w:t>t</w:t>
      </w:r>
      <w:r w:rsidR="0055313C" w:rsidRPr="00435D3D">
        <w:rPr>
          <w:rFonts w:ascii="Times New Roman" w:hAnsi="Times New Roman" w:cs="Times New Roman"/>
          <w:sz w:val="24"/>
          <w:szCs w:val="24"/>
        </w:rPr>
        <w:t>-statistic = -</w:t>
      </w:r>
      <w:r w:rsidR="00A72052" w:rsidRPr="00435D3D">
        <w:rPr>
          <w:rFonts w:ascii="Times New Roman" w:hAnsi="Times New Roman" w:cs="Times New Roman"/>
          <w:sz w:val="24"/>
          <w:szCs w:val="24"/>
        </w:rPr>
        <w:t>1.6885</w:t>
      </w:r>
      <w:r w:rsidR="0055313C" w:rsidRPr="00435D3D">
        <w:rPr>
          <w:rFonts w:ascii="Times New Roman" w:hAnsi="Times New Roman" w:cs="Times New Roman"/>
          <w:sz w:val="24"/>
          <w:szCs w:val="24"/>
        </w:rPr>
        <w:t xml:space="preserve">) </w:t>
      </w:r>
      <w:r w:rsidR="00712431">
        <w:rPr>
          <w:rFonts w:ascii="Times New Roman" w:hAnsi="Times New Roman" w:cs="Times New Roman"/>
          <w:sz w:val="24"/>
          <w:szCs w:val="24"/>
        </w:rPr>
        <w:t>and</w:t>
      </w:r>
      <w:r w:rsidR="0055313C" w:rsidRPr="00435D3D">
        <w:rPr>
          <w:rFonts w:ascii="Times New Roman" w:hAnsi="Times New Roman" w:cs="Times New Roman"/>
          <w:sz w:val="24"/>
          <w:szCs w:val="24"/>
        </w:rPr>
        <w:t xml:space="preserve"> on </w:t>
      </w:r>
      <w:r w:rsidR="0055313C" w:rsidRPr="00435D3D">
        <w:rPr>
          <w:rFonts w:ascii="Times New Roman" w:hAnsi="Times New Roman" w:cs="Times New Roman"/>
          <w:i/>
          <w:iCs/>
          <w:sz w:val="24"/>
          <w:szCs w:val="24"/>
        </w:rPr>
        <w:t>RAM*LAW</w:t>
      </w:r>
      <w:r w:rsidR="0055313C" w:rsidRPr="00435D3D">
        <w:rPr>
          <w:rFonts w:ascii="Times New Roman" w:hAnsi="Times New Roman" w:cs="Times New Roman"/>
          <w:sz w:val="24"/>
          <w:szCs w:val="24"/>
        </w:rPr>
        <w:t xml:space="preserve"> (coefficient -0.025</w:t>
      </w:r>
      <w:r w:rsidR="009A3B64" w:rsidRPr="001578CB">
        <w:rPr>
          <w:rFonts w:ascii="Times New Roman" w:hAnsi="Times New Roman" w:cs="Times New Roman"/>
          <w:sz w:val="24"/>
          <w:szCs w:val="24"/>
        </w:rPr>
        <w:t>52</w:t>
      </w:r>
      <w:r w:rsidR="0055313C" w:rsidRPr="00435D3D">
        <w:rPr>
          <w:rFonts w:ascii="Times New Roman" w:hAnsi="Times New Roman" w:cs="Times New Roman"/>
          <w:sz w:val="24"/>
          <w:szCs w:val="24"/>
        </w:rPr>
        <w:t xml:space="preserve">, </w:t>
      </w:r>
      <w:r w:rsidR="0055313C" w:rsidRPr="00435D3D">
        <w:rPr>
          <w:rFonts w:ascii="Times New Roman" w:hAnsi="Times New Roman" w:cs="Times New Roman"/>
          <w:i/>
          <w:iCs/>
          <w:sz w:val="24"/>
          <w:szCs w:val="24"/>
        </w:rPr>
        <w:t>t</w:t>
      </w:r>
      <w:r w:rsidR="0055313C" w:rsidRPr="00435D3D">
        <w:rPr>
          <w:rFonts w:ascii="Times New Roman" w:hAnsi="Times New Roman" w:cs="Times New Roman"/>
          <w:sz w:val="24"/>
          <w:szCs w:val="24"/>
        </w:rPr>
        <w:t>-statistic = -</w:t>
      </w:r>
      <w:r w:rsidR="0041703D" w:rsidRPr="001578CB">
        <w:rPr>
          <w:rFonts w:ascii="Times New Roman" w:hAnsi="Times New Roman" w:cs="Times New Roman"/>
          <w:sz w:val="24"/>
          <w:szCs w:val="24"/>
        </w:rPr>
        <w:t>1.</w:t>
      </w:r>
      <w:r w:rsidR="00CE5599" w:rsidRPr="001578CB">
        <w:rPr>
          <w:rFonts w:ascii="Times New Roman" w:hAnsi="Times New Roman" w:cs="Times New Roman"/>
          <w:sz w:val="24"/>
          <w:szCs w:val="24"/>
        </w:rPr>
        <w:t>7476</w:t>
      </w:r>
      <w:r w:rsidR="0055313C" w:rsidRPr="00435D3D">
        <w:rPr>
          <w:rFonts w:ascii="Times New Roman" w:hAnsi="Times New Roman" w:cs="Times New Roman"/>
          <w:sz w:val="24"/>
          <w:szCs w:val="24"/>
        </w:rPr>
        <w:t xml:space="preserve">) </w:t>
      </w:r>
      <w:r w:rsidR="003E4323">
        <w:rPr>
          <w:rFonts w:ascii="Times New Roman" w:hAnsi="Times New Roman" w:cs="Times New Roman"/>
          <w:sz w:val="24"/>
          <w:szCs w:val="24"/>
        </w:rPr>
        <w:t>are both</w:t>
      </w:r>
      <w:r w:rsidR="0055313C" w:rsidRPr="00435D3D">
        <w:rPr>
          <w:rFonts w:ascii="Times New Roman" w:hAnsi="Times New Roman" w:cs="Times New Roman"/>
          <w:sz w:val="24"/>
          <w:szCs w:val="24"/>
        </w:rPr>
        <w:t xml:space="preserve"> negative </w:t>
      </w:r>
      <w:r w:rsidR="003E4323">
        <w:rPr>
          <w:rFonts w:ascii="Times New Roman" w:hAnsi="Times New Roman" w:cs="Times New Roman"/>
          <w:sz w:val="24"/>
          <w:szCs w:val="24"/>
        </w:rPr>
        <w:t>but only</w:t>
      </w:r>
      <w:r w:rsidR="00C84653" w:rsidRPr="00435D3D">
        <w:rPr>
          <w:rFonts w:ascii="Times New Roman" w:hAnsi="Times New Roman" w:cs="Times New Roman"/>
          <w:sz w:val="24"/>
          <w:szCs w:val="24"/>
        </w:rPr>
        <w:t xml:space="preserve"> </w:t>
      </w:r>
      <w:r w:rsidR="00CE5599" w:rsidRPr="001578CB">
        <w:rPr>
          <w:rFonts w:ascii="Times New Roman" w:hAnsi="Times New Roman" w:cs="Times New Roman"/>
          <w:sz w:val="24"/>
          <w:szCs w:val="24"/>
        </w:rPr>
        <w:t xml:space="preserve">marginally </w:t>
      </w:r>
      <w:r w:rsidR="00C84653" w:rsidRPr="00435D3D">
        <w:rPr>
          <w:rFonts w:ascii="Times New Roman" w:hAnsi="Times New Roman" w:cs="Times New Roman"/>
          <w:sz w:val="24"/>
          <w:szCs w:val="24"/>
        </w:rPr>
        <w:t xml:space="preserve">statistically significant </w:t>
      </w:r>
      <w:r w:rsidR="008C27BC">
        <w:rPr>
          <w:rFonts w:ascii="Times New Roman" w:hAnsi="Times New Roman" w:cs="Times New Roman"/>
          <w:sz w:val="24"/>
          <w:szCs w:val="24"/>
        </w:rPr>
        <w:t>(</w:t>
      </w:r>
      <w:r w:rsidR="00C84653" w:rsidRPr="00435D3D">
        <w:rPr>
          <w:rFonts w:ascii="Times New Roman" w:hAnsi="Times New Roman" w:cs="Times New Roman"/>
          <w:sz w:val="24"/>
          <w:szCs w:val="24"/>
        </w:rPr>
        <w:t>at the 1</w:t>
      </w:r>
      <w:r w:rsidR="00CE5599" w:rsidRPr="001578CB">
        <w:rPr>
          <w:rFonts w:ascii="Times New Roman" w:hAnsi="Times New Roman" w:cs="Times New Roman"/>
          <w:sz w:val="24"/>
          <w:szCs w:val="24"/>
        </w:rPr>
        <w:t>0</w:t>
      </w:r>
      <w:r w:rsidR="00C84653" w:rsidRPr="00435D3D">
        <w:rPr>
          <w:rFonts w:ascii="Times New Roman" w:hAnsi="Times New Roman" w:cs="Times New Roman"/>
          <w:sz w:val="24"/>
          <w:szCs w:val="24"/>
        </w:rPr>
        <w:t>% level</w:t>
      </w:r>
      <w:r w:rsidR="008C27BC">
        <w:rPr>
          <w:rFonts w:ascii="Times New Roman" w:hAnsi="Times New Roman" w:cs="Times New Roman"/>
          <w:sz w:val="24"/>
          <w:szCs w:val="24"/>
        </w:rPr>
        <w:t>)</w:t>
      </w:r>
      <w:r w:rsidR="00CE5599" w:rsidRPr="001578CB">
        <w:rPr>
          <w:rFonts w:ascii="Times New Roman" w:hAnsi="Times New Roman" w:cs="Times New Roman"/>
          <w:sz w:val="24"/>
          <w:szCs w:val="24"/>
        </w:rPr>
        <w:t>.</w:t>
      </w:r>
      <w:r w:rsidR="00903972">
        <w:rPr>
          <w:rFonts w:ascii="Times New Roman" w:hAnsi="Times New Roman" w:cs="Times New Roman"/>
          <w:sz w:val="24"/>
          <w:szCs w:val="24"/>
        </w:rPr>
        <w:t xml:space="preserve"> However, Column 7 also shows, from comparison of the coefficients on the interaction variables with </w:t>
      </w:r>
      <w:r w:rsidR="00903972" w:rsidRPr="008A3A08">
        <w:rPr>
          <w:rFonts w:ascii="Times New Roman" w:hAnsi="Times New Roman" w:cs="Times New Roman"/>
          <w:i/>
          <w:sz w:val="24"/>
          <w:szCs w:val="24"/>
        </w:rPr>
        <w:t>LAW</w:t>
      </w:r>
      <w:r w:rsidR="00903972">
        <w:rPr>
          <w:rFonts w:ascii="Times New Roman" w:hAnsi="Times New Roman" w:cs="Times New Roman"/>
          <w:sz w:val="24"/>
          <w:szCs w:val="24"/>
        </w:rPr>
        <w:t xml:space="preserve"> and the total coefficients on </w:t>
      </w:r>
      <w:r w:rsidR="00903972" w:rsidRPr="008A3A08">
        <w:rPr>
          <w:rFonts w:ascii="Times New Roman" w:hAnsi="Times New Roman" w:cs="Times New Roman"/>
          <w:i/>
          <w:sz w:val="24"/>
          <w:szCs w:val="24"/>
        </w:rPr>
        <w:t>AEM</w:t>
      </w:r>
      <w:r w:rsidR="00903972">
        <w:rPr>
          <w:rFonts w:ascii="Times New Roman" w:hAnsi="Times New Roman" w:cs="Times New Roman"/>
          <w:sz w:val="24"/>
          <w:szCs w:val="24"/>
        </w:rPr>
        <w:t xml:space="preserve"> and </w:t>
      </w:r>
      <w:r w:rsidR="00903972">
        <w:rPr>
          <w:rFonts w:ascii="Times New Roman" w:hAnsi="Times New Roman" w:cs="Times New Roman"/>
          <w:i/>
          <w:sz w:val="24"/>
          <w:szCs w:val="24"/>
        </w:rPr>
        <w:t xml:space="preserve">RAM </w:t>
      </w:r>
      <w:r w:rsidR="00903972">
        <w:rPr>
          <w:rFonts w:ascii="Times New Roman" w:hAnsi="Times New Roman" w:cs="Times New Roman"/>
          <w:sz w:val="24"/>
          <w:szCs w:val="24"/>
        </w:rPr>
        <w:t>that, consistent with Hypothesis H2, in countries with a strong legal regime,</w:t>
      </w:r>
      <w:r w:rsidR="00903972" w:rsidRPr="0001586F">
        <w:rPr>
          <w:rFonts w:ascii="Times New Roman" w:hAnsi="Times New Roman" w:cs="Times New Roman"/>
          <w:i/>
          <w:iCs/>
          <w:sz w:val="24"/>
          <w:szCs w:val="24"/>
        </w:rPr>
        <w:t xml:space="preserve"> </w:t>
      </w:r>
      <w:r w:rsidR="00903972" w:rsidRPr="00363ACD">
        <w:rPr>
          <w:rFonts w:ascii="Times New Roman" w:hAnsi="Times New Roman" w:cs="Times New Roman"/>
          <w:i/>
          <w:iCs/>
          <w:sz w:val="24"/>
          <w:szCs w:val="24"/>
        </w:rPr>
        <w:t>RAM</w:t>
      </w:r>
      <w:r w:rsidR="00903972">
        <w:rPr>
          <w:rFonts w:ascii="Times New Roman" w:hAnsi="Times New Roman" w:cs="Times New Roman"/>
          <w:sz w:val="24"/>
          <w:szCs w:val="24"/>
        </w:rPr>
        <w:t xml:space="preserve"> has the larger impact on post SEO performance. </w:t>
      </w:r>
      <w:r w:rsidR="00903972" w:rsidRPr="00435D3D">
        <w:rPr>
          <w:rFonts w:ascii="Times New Roman" w:hAnsi="Times New Roman" w:cs="Times New Roman"/>
          <w:sz w:val="24"/>
          <w:szCs w:val="24"/>
        </w:rPr>
        <w:t>Th</w:t>
      </w:r>
      <w:r w:rsidR="00903972">
        <w:rPr>
          <w:rFonts w:ascii="Times New Roman" w:hAnsi="Times New Roman" w:cs="Times New Roman"/>
          <w:sz w:val="24"/>
          <w:szCs w:val="24"/>
        </w:rPr>
        <w:t>us,</w:t>
      </w:r>
      <w:r w:rsidR="001209F7">
        <w:rPr>
          <w:rFonts w:ascii="Times New Roman" w:hAnsi="Times New Roman" w:cs="Times New Roman"/>
          <w:sz w:val="24"/>
          <w:szCs w:val="24"/>
        </w:rPr>
        <w:t xml:space="preserve"> o</w:t>
      </w:r>
      <w:r w:rsidR="00000FC9">
        <w:rPr>
          <w:rFonts w:ascii="Times New Roman" w:hAnsi="Times New Roman" w:cs="Times New Roman"/>
          <w:sz w:val="24"/>
          <w:szCs w:val="24"/>
        </w:rPr>
        <w:t xml:space="preserve">verall, our </w:t>
      </w:r>
      <w:r w:rsidR="00B05E0F">
        <w:rPr>
          <w:rFonts w:ascii="Times New Roman" w:hAnsi="Times New Roman" w:cs="Times New Roman"/>
          <w:sz w:val="24"/>
          <w:szCs w:val="24"/>
        </w:rPr>
        <w:t xml:space="preserve">reported </w:t>
      </w:r>
      <w:r w:rsidR="00000FC9">
        <w:rPr>
          <w:rFonts w:ascii="Times New Roman" w:hAnsi="Times New Roman" w:cs="Times New Roman"/>
          <w:sz w:val="24"/>
          <w:szCs w:val="24"/>
        </w:rPr>
        <w:t>results</w:t>
      </w:r>
      <w:r w:rsidR="001209F7">
        <w:rPr>
          <w:rFonts w:ascii="Times New Roman" w:hAnsi="Times New Roman" w:cs="Times New Roman"/>
          <w:sz w:val="24"/>
          <w:szCs w:val="24"/>
        </w:rPr>
        <w:t>,</w:t>
      </w:r>
      <w:r w:rsidR="00000FC9">
        <w:rPr>
          <w:rFonts w:ascii="Times New Roman" w:hAnsi="Times New Roman" w:cs="Times New Roman"/>
          <w:sz w:val="24"/>
          <w:szCs w:val="24"/>
        </w:rPr>
        <w:t xml:space="preserve"> </w:t>
      </w:r>
      <w:r w:rsidR="00B05E0F">
        <w:rPr>
          <w:rFonts w:ascii="Times New Roman" w:hAnsi="Times New Roman" w:cs="Times New Roman"/>
          <w:sz w:val="24"/>
          <w:szCs w:val="24"/>
        </w:rPr>
        <w:t xml:space="preserve">using </w:t>
      </w:r>
      <w:r w:rsidR="00C12D14">
        <w:rPr>
          <w:rFonts w:ascii="Times New Roman" w:hAnsi="Times New Roman" w:cs="Times New Roman"/>
          <w:sz w:val="24"/>
          <w:szCs w:val="24"/>
        </w:rPr>
        <w:t>two alternative measures of post-SEO performance, are</w:t>
      </w:r>
      <w:r w:rsidR="00B05E0F">
        <w:rPr>
          <w:rFonts w:ascii="Times New Roman" w:hAnsi="Times New Roman" w:cs="Times New Roman"/>
          <w:sz w:val="24"/>
          <w:szCs w:val="24"/>
        </w:rPr>
        <w:t xml:space="preserve"> qualitatively similar to the </w:t>
      </w:r>
      <w:r w:rsidR="00593077">
        <w:rPr>
          <w:rFonts w:ascii="Times New Roman" w:hAnsi="Times New Roman" w:cs="Times New Roman"/>
          <w:sz w:val="24"/>
          <w:szCs w:val="24"/>
        </w:rPr>
        <w:t xml:space="preserve">baseline </w:t>
      </w:r>
      <w:r w:rsidR="00B05E0F">
        <w:rPr>
          <w:rFonts w:ascii="Times New Roman" w:hAnsi="Times New Roman" w:cs="Times New Roman"/>
          <w:sz w:val="24"/>
          <w:szCs w:val="24"/>
        </w:rPr>
        <w:t>results</w:t>
      </w:r>
      <w:r w:rsidR="00905ED0">
        <w:rPr>
          <w:rFonts w:ascii="Times New Roman" w:hAnsi="Times New Roman" w:cs="Times New Roman"/>
          <w:sz w:val="24"/>
          <w:szCs w:val="24"/>
        </w:rPr>
        <w:t>.</w:t>
      </w:r>
    </w:p>
    <w:p w14:paraId="328FF9A2" w14:textId="77777777" w:rsidR="00DB5867" w:rsidRDefault="00DB5867" w:rsidP="00DB5867">
      <w:pPr>
        <w:spacing w:after="0" w:line="480" w:lineRule="auto"/>
        <w:jc w:val="center"/>
        <w:rPr>
          <w:rFonts w:ascii="Times New Roman" w:hAnsi="Times New Roman" w:cs="Times New Roman"/>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7</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about h</w:t>
      </w:r>
      <w:r w:rsidRPr="001D63A3">
        <w:rPr>
          <w:rFonts w:ascii="Times New Roman" w:hAnsi="Times New Roman" w:cs="Times New Roman"/>
          <w:b/>
          <w:bCs/>
          <w:iCs/>
          <w:sz w:val="24"/>
          <w:szCs w:val="24"/>
        </w:rPr>
        <w:t>ere]</w:t>
      </w:r>
    </w:p>
    <w:p w14:paraId="08896D75" w14:textId="51E2FF2E" w:rsidR="00F55518" w:rsidRDefault="00F55518" w:rsidP="00F55518">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5.</w:t>
      </w:r>
      <w:r w:rsidR="00976B2B">
        <w:rPr>
          <w:rFonts w:ascii="Times New Roman" w:hAnsi="Times New Roman" w:cs="Times New Roman"/>
          <w:i/>
          <w:iCs/>
          <w:sz w:val="24"/>
          <w:szCs w:val="24"/>
        </w:rPr>
        <w:t>1.</w:t>
      </w:r>
      <w:r>
        <w:rPr>
          <w:rFonts w:ascii="Times New Roman" w:hAnsi="Times New Roman" w:cs="Times New Roman"/>
          <w:i/>
          <w:iCs/>
          <w:sz w:val="24"/>
          <w:szCs w:val="24"/>
        </w:rPr>
        <w:t>2. Alternative measure of earnings management</w:t>
      </w:r>
    </w:p>
    <w:p w14:paraId="1BC7A95F" w14:textId="52A0FF22" w:rsidR="00BE1497" w:rsidRDefault="008E514E" w:rsidP="00157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alternative measures for </w:t>
      </w:r>
      <w:r w:rsidRPr="00F91D55">
        <w:rPr>
          <w:rFonts w:ascii="Times New Roman" w:hAnsi="Times New Roman" w:cs="Times New Roman"/>
          <w:i/>
          <w:sz w:val="24"/>
          <w:szCs w:val="24"/>
        </w:rPr>
        <w:t>AEM</w:t>
      </w:r>
      <w:r>
        <w:rPr>
          <w:rFonts w:ascii="Times New Roman" w:hAnsi="Times New Roman" w:cs="Times New Roman"/>
          <w:sz w:val="24"/>
          <w:szCs w:val="24"/>
        </w:rPr>
        <w:t xml:space="preserve"> and </w:t>
      </w:r>
      <w:r w:rsidRPr="00F91D55">
        <w:rPr>
          <w:rFonts w:ascii="Times New Roman" w:hAnsi="Times New Roman" w:cs="Times New Roman"/>
          <w:i/>
          <w:sz w:val="24"/>
          <w:szCs w:val="24"/>
        </w:rPr>
        <w:t>RAM</w:t>
      </w:r>
      <w:r>
        <w:rPr>
          <w:rFonts w:ascii="Times New Roman" w:hAnsi="Times New Roman" w:cs="Times New Roman"/>
          <w:sz w:val="24"/>
          <w:szCs w:val="24"/>
        </w:rPr>
        <w:t xml:space="preserve">, we use </w:t>
      </w:r>
      <w:r w:rsidRPr="00F91D55">
        <w:rPr>
          <w:rFonts w:ascii="Times New Roman" w:hAnsi="Times New Roman" w:cs="Times New Roman"/>
          <w:i/>
          <w:sz w:val="24"/>
          <w:szCs w:val="24"/>
        </w:rPr>
        <w:t>AEMR</w:t>
      </w:r>
      <w:r>
        <w:rPr>
          <w:rFonts w:ascii="Times New Roman" w:hAnsi="Times New Roman" w:cs="Times New Roman"/>
          <w:sz w:val="24"/>
          <w:szCs w:val="24"/>
        </w:rPr>
        <w:t xml:space="preserve"> and </w:t>
      </w:r>
      <w:r w:rsidRPr="00F91D55">
        <w:rPr>
          <w:rFonts w:ascii="Times New Roman" w:hAnsi="Times New Roman" w:cs="Times New Roman"/>
          <w:i/>
          <w:sz w:val="24"/>
          <w:szCs w:val="24"/>
        </w:rPr>
        <w:t>RAMR</w:t>
      </w:r>
      <w:r>
        <w:rPr>
          <w:rFonts w:ascii="Times New Roman" w:hAnsi="Times New Roman" w:cs="Times New Roman"/>
          <w:sz w:val="24"/>
          <w:szCs w:val="24"/>
        </w:rPr>
        <w:t xml:space="preserve">, the raw values of </w:t>
      </w:r>
      <w:r w:rsidDel="0001586F">
        <w:rPr>
          <w:rFonts w:ascii="Times New Roman" w:hAnsi="Times New Roman" w:cs="Times New Roman"/>
          <w:sz w:val="24"/>
          <w:szCs w:val="24"/>
        </w:rPr>
        <w:t xml:space="preserve"> </w:t>
      </w:r>
      <w:r w:rsidRPr="00F91D55">
        <w:rPr>
          <w:rFonts w:ascii="Times New Roman" w:hAnsi="Times New Roman" w:cs="Times New Roman"/>
          <w:i/>
          <w:sz w:val="24"/>
          <w:szCs w:val="24"/>
        </w:rPr>
        <w:t>AEM</w:t>
      </w:r>
      <w:r>
        <w:rPr>
          <w:rFonts w:ascii="Times New Roman" w:hAnsi="Times New Roman" w:cs="Times New Roman"/>
          <w:sz w:val="24"/>
          <w:szCs w:val="24"/>
        </w:rPr>
        <w:t xml:space="preserve"> and </w:t>
      </w:r>
      <w:r w:rsidR="00CB3CBF" w:rsidRPr="00F91D55">
        <w:rPr>
          <w:rFonts w:ascii="Times New Roman" w:hAnsi="Times New Roman" w:cs="Times New Roman"/>
          <w:i/>
          <w:sz w:val="24"/>
          <w:szCs w:val="24"/>
        </w:rPr>
        <w:t>RAM,</w:t>
      </w:r>
      <w:r w:rsidDel="0001586F">
        <w:rPr>
          <w:rFonts w:ascii="Times New Roman" w:hAnsi="Times New Roman" w:cs="Times New Roman"/>
          <w:sz w:val="24"/>
          <w:szCs w:val="24"/>
        </w:rPr>
        <w:t xml:space="preserve"> </w:t>
      </w:r>
      <w:r>
        <w:rPr>
          <w:rFonts w:ascii="Times New Roman" w:hAnsi="Times New Roman" w:cs="Times New Roman"/>
          <w:sz w:val="24"/>
          <w:szCs w:val="24"/>
        </w:rPr>
        <w:t xml:space="preserve">respectively. </w:t>
      </w:r>
      <w:r w:rsidR="008B0EE7">
        <w:rPr>
          <w:rFonts w:ascii="Times New Roman" w:hAnsi="Times New Roman" w:cs="Times New Roman"/>
          <w:sz w:val="24"/>
          <w:szCs w:val="24"/>
        </w:rPr>
        <w:t xml:space="preserve">The results </w:t>
      </w:r>
      <w:r>
        <w:rPr>
          <w:rFonts w:ascii="Times New Roman" w:hAnsi="Times New Roman" w:cs="Times New Roman"/>
          <w:sz w:val="24"/>
          <w:szCs w:val="24"/>
        </w:rPr>
        <w:t>we obtain</w:t>
      </w:r>
      <w:r w:rsidR="00CB3CBF">
        <w:rPr>
          <w:rFonts w:ascii="Times New Roman" w:hAnsi="Times New Roman" w:cs="Times New Roman"/>
          <w:sz w:val="24"/>
          <w:szCs w:val="24"/>
        </w:rPr>
        <w:t xml:space="preserve"> </w:t>
      </w:r>
      <w:r w:rsidR="008B0EE7">
        <w:rPr>
          <w:rFonts w:ascii="Times New Roman" w:hAnsi="Times New Roman" w:cs="Times New Roman"/>
          <w:sz w:val="24"/>
          <w:szCs w:val="24"/>
        </w:rPr>
        <w:t xml:space="preserve">are </w:t>
      </w:r>
      <w:r w:rsidR="00CB3CBF">
        <w:rPr>
          <w:rFonts w:ascii="Times New Roman" w:hAnsi="Times New Roman" w:cs="Times New Roman"/>
          <w:sz w:val="24"/>
          <w:szCs w:val="24"/>
        </w:rPr>
        <w:t xml:space="preserve">reported in Table 8 and are </w:t>
      </w:r>
      <w:r w:rsidR="008B0EE7">
        <w:rPr>
          <w:rFonts w:ascii="Times New Roman" w:hAnsi="Times New Roman" w:cs="Times New Roman"/>
          <w:sz w:val="24"/>
          <w:szCs w:val="24"/>
        </w:rPr>
        <w:t xml:space="preserve">consistent with the main findings. However, we note that the coefficients on </w:t>
      </w:r>
      <w:r w:rsidR="008B0EE7" w:rsidRPr="001578CB">
        <w:rPr>
          <w:rFonts w:ascii="Times New Roman" w:hAnsi="Times New Roman" w:cs="Times New Roman"/>
          <w:i/>
          <w:iCs/>
          <w:sz w:val="24"/>
          <w:szCs w:val="24"/>
        </w:rPr>
        <w:t>AEM</w:t>
      </w:r>
      <w:r w:rsidR="00CB3CBF">
        <w:rPr>
          <w:rFonts w:ascii="Times New Roman" w:hAnsi="Times New Roman" w:cs="Times New Roman"/>
          <w:i/>
          <w:iCs/>
          <w:sz w:val="24"/>
          <w:szCs w:val="24"/>
        </w:rPr>
        <w:t>R</w:t>
      </w:r>
      <w:r w:rsidR="008B0EE7">
        <w:rPr>
          <w:rFonts w:ascii="Times New Roman" w:hAnsi="Times New Roman" w:cs="Times New Roman"/>
          <w:sz w:val="24"/>
          <w:szCs w:val="24"/>
        </w:rPr>
        <w:t xml:space="preserve"> and </w:t>
      </w:r>
      <w:r w:rsidR="008B0EE7" w:rsidRPr="001578CB">
        <w:rPr>
          <w:rFonts w:ascii="Times New Roman" w:hAnsi="Times New Roman" w:cs="Times New Roman"/>
          <w:i/>
          <w:iCs/>
          <w:sz w:val="24"/>
          <w:szCs w:val="24"/>
        </w:rPr>
        <w:t>RAM</w:t>
      </w:r>
      <w:r w:rsidR="00CB3CBF">
        <w:rPr>
          <w:rFonts w:ascii="Times New Roman" w:hAnsi="Times New Roman" w:cs="Times New Roman"/>
          <w:i/>
          <w:iCs/>
          <w:sz w:val="24"/>
          <w:szCs w:val="24"/>
        </w:rPr>
        <w:t>R</w:t>
      </w:r>
      <w:r w:rsidR="008B0EE7">
        <w:rPr>
          <w:rFonts w:ascii="Times New Roman" w:hAnsi="Times New Roman" w:cs="Times New Roman"/>
          <w:sz w:val="24"/>
          <w:szCs w:val="24"/>
        </w:rPr>
        <w:t xml:space="preserve"> are not </w:t>
      </w:r>
      <w:r w:rsidR="00A06679">
        <w:rPr>
          <w:rFonts w:ascii="Times New Roman" w:hAnsi="Times New Roman" w:cs="Times New Roman"/>
          <w:sz w:val="24"/>
          <w:szCs w:val="24"/>
        </w:rPr>
        <w:t xml:space="preserve">directly </w:t>
      </w:r>
      <w:r w:rsidR="008B0EE7">
        <w:rPr>
          <w:rFonts w:ascii="Times New Roman" w:hAnsi="Times New Roman" w:cs="Times New Roman"/>
          <w:sz w:val="24"/>
          <w:szCs w:val="24"/>
        </w:rPr>
        <w:lastRenderedPageBreak/>
        <w:t xml:space="preserve">comparable, as the unit of measurement is different and the variation of </w:t>
      </w:r>
      <w:r w:rsidR="008B0EE7" w:rsidRPr="001578CB">
        <w:rPr>
          <w:rFonts w:ascii="Times New Roman" w:hAnsi="Times New Roman" w:cs="Times New Roman"/>
          <w:i/>
          <w:iCs/>
          <w:sz w:val="24"/>
          <w:szCs w:val="24"/>
        </w:rPr>
        <w:t>RAM</w:t>
      </w:r>
      <w:r w:rsidR="00CB3CBF">
        <w:rPr>
          <w:rFonts w:ascii="Times New Roman" w:hAnsi="Times New Roman" w:cs="Times New Roman"/>
          <w:i/>
          <w:iCs/>
          <w:sz w:val="24"/>
          <w:szCs w:val="24"/>
        </w:rPr>
        <w:t>R</w:t>
      </w:r>
      <w:r w:rsidR="008B0EE7">
        <w:rPr>
          <w:rFonts w:ascii="Times New Roman" w:hAnsi="Times New Roman" w:cs="Times New Roman"/>
          <w:sz w:val="24"/>
          <w:szCs w:val="24"/>
        </w:rPr>
        <w:t xml:space="preserve"> is larger than that of </w:t>
      </w:r>
      <w:r w:rsidR="008B0EE7" w:rsidRPr="001578CB">
        <w:rPr>
          <w:rFonts w:ascii="Times New Roman" w:hAnsi="Times New Roman" w:cs="Times New Roman"/>
          <w:i/>
          <w:iCs/>
          <w:sz w:val="24"/>
          <w:szCs w:val="24"/>
        </w:rPr>
        <w:t>AEM</w:t>
      </w:r>
      <w:r w:rsidR="00CB3CBF">
        <w:rPr>
          <w:rFonts w:ascii="Times New Roman" w:hAnsi="Times New Roman" w:cs="Times New Roman"/>
          <w:i/>
          <w:iCs/>
          <w:sz w:val="24"/>
          <w:szCs w:val="24"/>
        </w:rPr>
        <w:t>R</w:t>
      </w:r>
      <w:r w:rsidR="008B0EE7">
        <w:rPr>
          <w:rFonts w:ascii="Times New Roman" w:hAnsi="Times New Roman" w:cs="Times New Roman"/>
          <w:sz w:val="24"/>
          <w:szCs w:val="24"/>
        </w:rPr>
        <w:t>.</w:t>
      </w:r>
      <w:r w:rsidR="00080EB3">
        <w:rPr>
          <w:rFonts w:ascii="Times New Roman" w:hAnsi="Times New Roman" w:cs="Times New Roman"/>
          <w:sz w:val="24"/>
          <w:szCs w:val="24"/>
        </w:rPr>
        <w:t xml:space="preserve"> Therefore, we </w:t>
      </w:r>
      <w:r w:rsidR="001C0FED">
        <w:rPr>
          <w:rFonts w:ascii="Times New Roman" w:hAnsi="Times New Roman" w:cs="Times New Roman"/>
          <w:sz w:val="24"/>
          <w:szCs w:val="24"/>
        </w:rPr>
        <w:t xml:space="preserve">note </w:t>
      </w:r>
      <w:r w:rsidR="00080EB3">
        <w:rPr>
          <w:rFonts w:ascii="Times New Roman" w:hAnsi="Times New Roman" w:cs="Times New Roman"/>
          <w:sz w:val="24"/>
          <w:szCs w:val="24"/>
        </w:rPr>
        <w:t xml:space="preserve">only </w:t>
      </w:r>
      <w:r w:rsidR="00915222">
        <w:rPr>
          <w:rFonts w:ascii="Times New Roman" w:hAnsi="Times New Roman" w:cs="Times New Roman"/>
          <w:sz w:val="24"/>
          <w:szCs w:val="24"/>
        </w:rPr>
        <w:t>the</w:t>
      </w:r>
      <w:r w:rsidR="00564D89">
        <w:rPr>
          <w:rFonts w:ascii="Times New Roman" w:hAnsi="Times New Roman" w:cs="Times New Roman"/>
          <w:sz w:val="24"/>
          <w:szCs w:val="24"/>
        </w:rPr>
        <w:t xml:space="preserve"> </w:t>
      </w:r>
      <w:r w:rsidR="00915222">
        <w:rPr>
          <w:rFonts w:ascii="Times New Roman" w:hAnsi="Times New Roman" w:cs="Times New Roman"/>
          <w:sz w:val="24"/>
          <w:szCs w:val="24"/>
        </w:rPr>
        <w:t>s</w:t>
      </w:r>
      <w:r w:rsidR="00564D89">
        <w:rPr>
          <w:rFonts w:ascii="Times New Roman" w:hAnsi="Times New Roman" w:cs="Times New Roman"/>
          <w:sz w:val="24"/>
          <w:szCs w:val="24"/>
        </w:rPr>
        <w:t>ign</w:t>
      </w:r>
      <w:r w:rsidR="00915222">
        <w:rPr>
          <w:rFonts w:ascii="Times New Roman" w:hAnsi="Times New Roman" w:cs="Times New Roman"/>
          <w:sz w:val="24"/>
          <w:szCs w:val="24"/>
        </w:rPr>
        <w:t xml:space="preserve"> of the coefficients</w:t>
      </w:r>
      <w:r w:rsidR="008144FC">
        <w:rPr>
          <w:rFonts w:ascii="Times New Roman" w:hAnsi="Times New Roman" w:cs="Times New Roman"/>
          <w:sz w:val="24"/>
          <w:szCs w:val="24"/>
        </w:rPr>
        <w:t>.</w:t>
      </w:r>
      <w:r w:rsidR="00BE1497">
        <w:rPr>
          <w:rFonts w:ascii="Times New Roman" w:hAnsi="Times New Roman" w:cs="Times New Roman"/>
          <w:sz w:val="24"/>
          <w:szCs w:val="24"/>
        </w:rPr>
        <w:t xml:space="preserve"> We conclude that our results are robust to </w:t>
      </w:r>
      <w:r w:rsidR="00FA73B0">
        <w:rPr>
          <w:rFonts w:ascii="Times New Roman" w:hAnsi="Times New Roman" w:cs="Times New Roman"/>
          <w:sz w:val="24"/>
          <w:szCs w:val="24"/>
        </w:rPr>
        <w:t xml:space="preserve">an </w:t>
      </w:r>
      <w:r w:rsidR="00BE1497">
        <w:rPr>
          <w:rFonts w:ascii="Times New Roman" w:hAnsi="Times New Roman" w:cs="Times New Roman"/>
          <w:sz w:val="24"/>
          <w:szCs w:val="24"/>
        </w:rPr>
        <w:t xml:space="preserve">alternative measure of earnings </w:t>
      </w:r>
      <w:r w:rsidR="008719AE">
        <w:rPr>
          <w:rFonts w:ascii="Times New Roman" w:hAnsi="Times New Roman" w:cs="Times New Roman"/>
          <w:sz w:val="24"/>
          <w:szCs w:val="24"/>
        </w:rPr>
        <w:t>management</w:t>
      </w:r>
      <w:r w:rsidR="00BE1497">
        <w:rPr>
          <w:rFonts w:ascii="Times New Roman" w:hAnsi="Times New Roman" w:cs="Times New Roman"/>
          <w:sz w:val="24"/>
          <w:szCs w:val="24"/>
        </w:rPr>
        <w:t>.</w:t>
      </w:r>
    </w:p>
    <w:p w14:paraId="43679EC1" w14:textId="705DD093"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DB5867">
        <w:rPr>
          <w:rFonts w:ascii="Times New Roman" w:hAnsi="Times New Roman" w:cs="Times New Roman"/>
          <w:b/>
          <w:bCs/>
          <w:iCs/>
          <w:sz w:val="24"/>
          <w:szCs w:val="24"/>
        </w:rPr>
        <w:t>8</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about h</w:t>
      </w:r>
      <w:r w:rsidRPr="001D63A3">
        <w:rPr>
          <w:rFonts w:ascii="Times New Roman" w:hAnsi="Times New Roman" w:cs="Times New Roman"/>
          <w:b/>
          <w:bCs/>
          <w:iCs/>
          <w:sz w:val="24"/>
          <w:szCs w:val="24"/>
        </w:rPr>
        <w:t>ere]</w:t>
      </w:r>
    </w:p>
    <w:p w14:paraId="141651EE" w14:textId="7088C5F9" w:rsidR="00E7725D" w:rsidRDefault="00E7725D" w:rsidP="00E7725D">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5.</w:t>
      </w:r>
      <w:r w:rsidR="00976B2B">
        <w:rPr>
          <w:rFonts w:ascii="Times New Roman" w:hAnsi="Times New Roman" w:cs="Times New Roman"/>
          <w:i/>
          <w:iCs/>
          <w:sz w:val="24"/>
          <w:szCs w:val="24"/>
        </w:rPr>
        <w:t>1.</w:t>
      </w:r>
      <w:r w:rsidR="00242E84">
        <w:rPr>
          <w:rFonts w:ascii="Times New Roman" w:hAnsi="Times New Roman" w:cs="Times New Roman"/>
          <w:i/>
          <w:iCs/>
          <w:sz w:val="24"/>
          <w:szCs w:val="24"/>
        </w:rPr>
        <w:t>3</w:t>
      </w:r>
      <w:r>
        <w:rPr>
          <w:rFonts w:ascii="Times New Roman" w:hAnsi="Times New Roman" w:cs="Times New Roman"/>
          <w:i/>
          <w:iCs/>
          <w:sz w:val="24"/>
          <w:szCs w:val="24"/>
        </w:rPr>
        <w:t>. Alternative measure</w:t>
      </w:r>
      <w:r w:rsidR="00423C33">
        <w:rPr>
          <w:rFonts w:ascii="Times New Roman" w:hAnsi="Times New Roman" w:cs="Times New Roman"/>
          <w:i/>
          <w:iCs/>
          <w:sz w:val="24"/>
          <w:szCs w:val="24"/>
        </w:rPr>
        <w:t>s</w:t>
      </w:r>
      <w:r>
        <w:rPr>
          <w:rFonts w:ascii="Times New Roman" w:hAnsi="Times New Roman" w:cs="Times New Roman"/>
          <w:i/>
          <w:iCs/>
          <w:sz w:val="24"/>
          <w:szCs w:val="24"/>
        </w:rPr>
        <w:t xml:space="preserve"> </w:t>
      </w:r>
      <w:r w:rsidR="00534A95">
        <w:rPr>
          <w:rFonts w:ascii="Times New Roman" w:hAnsi="Times New Roman" w:cs="Times New Roman"/>
          <w:i/>
          <w:iCs/>
          <w:sz w:val="24"/>
          <w:szCs w:val="24"/>
        </w:rPr>
        <w:t xml:space="preserve">for the </w:t>
      </w:r>
      <w:r>
        <w:rPr>
          <w:rFonts w:ascii="Times New Roman" w:hAnsi="Times New Roman" w:cs="Times New Roman"/>
          <w:i/>
          <w:iCs/>
          <w:sz w:val="24"/>
          <w:szCs w:val="24"/>
        </w:rPr>
        <w:t>legal regime</w:t>
      </w:r>
    </w:p>
    <w:p w14:paraId="69CB885F" w14:textId="6DC1AD08" w:rsidR="00AC69C6" w:rsidRDefault="00177D62" w:rsidP="00E772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E7725D">
        <w:rPr>
          <w:rFonts w:ascii="Times New Roman" w:hAnsi="Times New Roman" w:cs="Times New Roman"/>
          <w:sz w:val="24"/>
          <w:szCs w:val="24"/>
        </w:rPr>
        <w:t>e use</w:t>
      </w:r>
      <w:r w:rsidR="0061442A">
        <w:rPr>
          <w:rFonts w:ascii="Times New Roman" w:hAnsi="Times New Roman" w:cs="Times New Roman"/>
          <w:sz w:val="24"/>
          <w:szCs w:val="24"/>
        </w:rPr>
        <w:t xml:space="preserve"> three alternative measure</w:t>
      </w:r>
      <w:r w:rsidR="00527D8D">
        <w:rPr>
          <w:rFonts w:ascii="Times New Roman" w:hAnsi="Times New Roman" w:cs="Times New Roman"/>
          <w:sz w:val="24"/>
          <w:szCs w:val="24"/>
        </w:rPr>
        <w:t>s</w:t>
      </w:r>
      <w:r w:rsidR="009B22BC">
        <w:rPr>
          <w:rFonts w:ascii="Times New Roman" w:hAnsi="Times New Roman" w:cs="Times New Roman"/>
          <w:sz w:val="24"/>
          <w:szCs w:val="24"/>
        </w:rPr>
        <w:t xml:space="preserve"> for the</w:t>
      </w:r>
      <w:r w:rsidR="0061442A">
        <w:rPr>
          <w:rFonts w:ascii="Times New Roman" w:hAnsi="Times New Roman" w:cs="Times New Roman"/>
          <w:sz w:val="24"/>
          <w:szCs w:val="24"/>
        </w:rPr>
        <w:t xml:space="preserve"> legal regime.</w:t>
      </w:r>
      <w:r w:rsidR="00E7725D">
        <w:rPr>
          <w:rFonts w:ascii="Times New Roman" w:hAnsi="Times New Roman" w:cs="Times New Roman"/>
          <w:sz w:val="24"/>
          <w:szCs w:val="24"/>
        </w:rPr>
        <w:t xml:space="preserve"> </w:t>
      </w:r>
      <w:r w:rsidR="009541FC">
        <w:rPr>
          <w:rFonts w:ascii="Times New Roman" w:hAnsi="Times New Roman" w:cs="Times New Roman"/>
          <w:sz w:val="24"/>
          <w:szCs w:val="24"/>
        </w:rPr>
        <w:t xml:space="preserve">First, we </w:t>
      </w:r>
      <w:r w:rsidR="00986869">
        <w:rPr>
          <w:rFonts w:ascii="Times New Roman" w:hAnsi="Times New Roman" w:cs="Times New Roman"/>
          <w:sz w:val="24"/>
          <w:szCs w:val="24"/>
        </w:rPr>
        <w:t>test</w:t>
      </w:r>
      <w:r w:rsidR="002A6A3C">
        <w:rPr>
          <w:rFonts w:ascii="Times New Roman" w:hAnsi="Times New Roman" w:cs="Times New Roman"/>
          <w:sz w:val="24"/>
          <w:szCs w:val="24"/>
        </w:rPr>
        <w:t xml:space="preserve"> our predictions based on the legal </w:t>
      </w:r>
      <w:r w:rsidR="00A760D5">
        <w:rPr>
          <w:rFonts w:ascii="Times New Roman" w:hAnsi="Times New Roman" w:cs="Times New Roman"/>
          <w:sz w:val="24"/>
          <w:szCs w:val="24"/>
        </w:rPr>
        <w:t>origin (</w:t>
      </w:r>
      <w:r w:rsidR="009541FC">
        <w:rPr>
          <w:rFonts w:ascii="Times New Roman" w:hAnsi="Times New Roman" w:cs="Times New Roman"/>
          <w:sz w:val="24"/>
          <w:szCs w:val="24"/>
        </w:rPr>
        <w:t>common-</w:t>
      </w:r>
      <w:r w:rsidR="00FE48D4">
        <w:rPr>
          <w:rFonts w:ascii="Times New Roman" w:hAnsi="Times New Roman" w:cs="Times New Roman"/>
          <w:sz w:val="24"/>
          <w:szCs w:val="24"/>
        </w:rPr>
        <w:t xml:space="preserve">law </w:t>
      </w:r>
      <w:r w:rsidR="00A760D5">
        <w:rPr>
          <w:rFonts w:ascii="Times New Roman" w:hAnsi="Times New Roman" w:cs="Times New Roman"/>
          <w:sz w:val="24"/>
          <w:szCs w:val="24"/>
        </w:rPr>
        <w:t>vs</w:t>
      </w:r>
      <w:r w:rsidR="00FE48D4">
        <w:rPr>
          <w:rFonts w:ascii="Times New Roman" w:hAnsi="Times New Roman" w:cs="Times New Roman"/>
          <w:sz w:val="24"/>
          <w:szCs w:val="24"/>
        </w:rPr>
        <w:t xml:space="preserve"> code-law</w:t>
      </w:r>
      <w:r w:rsidR="00A760D5">
        <w:rPr>
          <w:rFonts w:ascii="Times New Roman" w:hAnsi="Times New Roman" w:cs="Times New Roman"/>
          <w:sz w:val="24"/>
          <w:szCs w:val="24"/>
        </w:rPr>
        <w:t>)</w:t>
      </w:r>
      <w:r w:rsidR="001C75F7">
        <w:rPr>
          <w:rFonts w:ascii="Times New Roman" w:hAnsi="Times New Roman" w:cs="Times New Roman"/>
          <w:sz w:val="24"/>
          <w:szCs w:val="24"/>
        </w:rPr>
        <w:t xml:space="preserve"> of the country in which a firm is domiciled. We c</w:t>
      </w:r>
      <w:r w:rsidR="00757D74">
        <w:rPr>
          <w:rFonts w:ascii="Times New Roman" w:hAnsi="Times New Roman" w:cs="Times New Roman"/>
          <w:sz w:val="24"/>
          <w:szCs w:val="24"/>
        </w:rPr>
        <w:t xml:space="preserve">ode </w:t>
      </w:r>
      <w:r w:rsidR="00F505A4">
        <w:rPr>
          <w:rFonts w:ascii="Times New Roman" w:hAnsi="Times New Roman" w:cs="Times New Roman"/>
          <w:sz w:val="24"/>
          <w:szCs w:val="24"/>
        </w:rPr>
        <w:t xml:space="preserve">countries with common-law </w:t>
      </w:r>
      <w:r w:rsidR="00880AFA">
        <w:rPr>
          <w:rFonts w:ascii="Times New Roman" w:hAnsi="Times New Roman" w:cs="Times New Roman"/>
          <w:sz w:val="24"/>
          <w:szCs w:val="24"/>
        </w:rPr>
        <w:t>legal tradition</w:t>
      </w:r>
      <w:r w:rsidR="00556A90">
        <w:rPr>
          <w:rFonts w:ascii="Times New Roman" w:hAnsi="Times New Roman" w:cs="Times New Roman"/>
          <w:sz w:val="24"/>
          <w:szCs w:val="24"/>
        </w:rPr>
        <w:t>s</w:t>
      </w:r>
      <w:r w:rsidR="00880AFA">
        <w:rPr>
          <w:rFonts w:ascii="Times New Roman" w:hAnsi="Times New Roman" w:cs="Times New Roman"/>
          <w:sz w:val="24"/>
          <w:szCs w:val="24"/>
        </w:rPr>
        <w:t xml:space="preserve"> as one</w:t>
      </w:r>
      <w:r w:rsidR="00F505A4">
        <w:rPr>
          <w:rFonts w:ascii="Times New Roman" w:hAnsi="Times New Roman" w:cs="Times New Roman"/>
          <w:sz w:val="24"/>
          <w:szCs w:val="24"/>
        </w:rPr>
        <w:t xml:space="preserve"> and zero otherwise. </w:t>
      </w:r>
      <w:r w:rsidR="0003170B">
        <w:rPr>
          <w:rFonts w:ascii="Times New Roman" w:hAnsi="Times New Roman" w:cs="Times New Roman"/>
          <w:sz w:val="24"/>
          <w:szCs w:val="24"/>
        </w:rPr>
        <w:t xml:space="preserve">Countries with </w:t>
      </w:r>
      <w:r w:rsidR="00D5378A">
        <w:rPr>
          <w:rFonts w:ascii="Times New Roman" w:hAnsi="Times New Roman" w:cs="Times New Roman"/>
          <w:sz w:val="24"/>
          <w:szCs w:val="24"/>
        </w:rPr>
        <w:t>common-law legal origins are associated with stronger investor protectio</w:t>
      </w:r>
      <w:r w:rsidR="00F96AFB">
        <w:rPr>
          <w:rFonts w:ascii="Times New Roman" w:hAnsi="Times New Roman" w:cs="Times New Roman"/>
          <w:sz w:val="24"/>
          <w:szCs w:val="24"/>
        </w:rPr>
        <w:t xml:space="preserve">n </w:t>
      </w:r>
      <w:r w:rsidR="000A3EB2">
        <w:rPr>
          <w:rFonts w:ascii="Times New Roman" w:hAnsi="Times New Roman" w:cs="Times New Roman"/>
          <w:sz w:val="24"/>
          <w:szCs w:val="24"/>
        </w:rPr>
        <w:t xml:space="preserve">(Kamarudin et al. 2020) </w:t>
      </w:r>
      <w:r w:rsidR="00F96AFB">
        <w:rPr>
          <w:rFonts w:ascii="Times New Roman" w:hAnsi="Times New Roman" w:cs="Times New Roman"/>
          <w:sz w:val="24"/>
          <w:szCs w:val="24"/>
        </w:rPr>
        <w:t xml:space="preserve">and enforcement and are therefore likely to mitigate the impact of earnings management on post-SEO performance. </w:t>
      </w:r>
      <w:r w:rsidR="00054E52">
        <w:rPr>
          <w:rFonts w:ascii="Times New Roman" w:hAnsi="Times New Roman" w:cs="Times New Roman"/>
          <w:sz w:val="24"/>
          <w:szCs w:val="24"/>
        </w:rPr>
        <w:t>Our second measure is based on the anti-director rights index</w:t>
      </w:r>
      <w:r w:rsidR="005B2BBF">
        <w:rPr>
          <w:rFonts w:ascii="Times New Roman" w:hAnsi="Times New Roman" w:cs="Times New Roman"/>
          <w:sz w:val="24"/>
          <w:szCs w:val="24"/>
        </w:rPr>
        <w:t xml:space="preserve"> which measures the strength of the legal system in protecting minority shareholders against </w:t>
      </w:r>
      <w:r w:rsidR="00A36614">
        <w:rPr>
          <w:rFonts w:ascii="Times New Roman" w:hAnsi="Times New Roman" w:cs="Times New Roman"/>
          <w:sz w:val="24"/>
          <w:szCs w:val="24"/>
        </w:rPr>
        <w:t>managers or dominant shareholders (</w:t>
      </w:r>
      <w:r w:rsidR="00A749AD">
        <w:rPr>
          <w:rFonts w:ascii="Times New Roman" w:hAnsi="Times New Roman" w:cs="Times New Roman"/>
          <w:sz w:val="24"/>
          <w:szCs w:val="24"/>
        </w:rPr>
        <w:t>La Porta et al., 1998)</w:t>
      </w:r>
      <w:r w:rsidR="005E42DE">
        <w:rPr>
          <w:rFonts w:ascii="Times New Roman" w:hAnsi="Times New Roman" w:cs="Times New Roman"/>
          <w:sz w:val="24"/>
          <w:szCs w:val="24"/>
        </w:rPr>
        <w:t xml:space="preserve"> in corporate decision-making process</w:t>
      </w:r>
      <w:r w:rsidR="00D05DC8">
        <w:rPr>
          <w:rFonts w:ascii="Times New Roman" w:hAnsi="Times New Roman" w:cs="Times New Roman"/>
          <w:sz w:val="24"/>
          <w:szCs w:val="24"/>
        </w:rPr>
        <w:t>es</w:t>
      </w:r>
      <w:r w:rsidR="005E42DE">
        <w:rPr>
          <w:rFonts w:ascii="Times New Roman" w:hAnsi="Times New Roman" w:cs="Times New Roman"/>
          <w:sz w:val="24"/>
          <w:szCs w:val="24"/>
        </w:rPr>
        <w:t xml:space="preserve"> and managerial opportunism</w:t>
      </w:r>
      <w:r w:rsidR="00A749AD">
        <w:rPr>
          <w:rFonts w:ascii="Times New Roman" w:hAnsi="Times New Roman" w:cs="Times New Roman"/>
          <w:sz w:val="24"/>
          <w:szCs w:val="24"/>
        </w:rPr>
        <w:t xml:space="preserve">. </w:t>
      </w:r>
      <w:r w:rsidR="003B65EB">
        <w:rPr>
          <w:rFonts w:ascii="Times New Roman" w:hAnsi="Times New Roman" w:cs="Times New Roman"/>
          <w:sz w:val="24"/>
          <w:szCs w:val="24"/>
        </w:rPr>
        <w:t xml:space="preserve">When there is greater legal recourse for investors, managers tend to maintain </w:t>
      </w:r>
      <w:r w:rsidR="00D05DC8">
        <w:rPr>
          <w:rFonts w:ascii="Times New Roman" w:hAnsi="Times New Roman" w:cs="Times New Roman"/>
          <w:sz w:val="24"/>
          <w:szCs w:val="24"/>
        </w:rPr>
        <w:t xml:space="preserve">a </w:t>
      </w:r>
      <w:r w:rsidR="003B65EB">
        <w:rPr>
          <w:rFonts w:ascii="Times New Roman" w:hAnsi="Times New Roman" w:cs="Times New Roman"/>
          <w:sz w:val="24"/>
          <w:szCs w:val="24"/>
        </w:rPr>
        <w:t>high</w:t>
      </w:r>
      <w:r w:rsidR="00D05DC8">
        <w:rPr>
          <w:rFonts w:ascii="Times New Roman" w:hAnsi="Times New Roman" w:cs="Times New Roman"/>
          <w:sz w:val="24"/>
          <w:szCs w:val="24"/>
        </w:rPr>
        <w:t>er</w:t>
      </w:r>
      <w:r w:rsidR="003B65EB">
        <w:rPr>
          <w:rFonts w:ascii="Times New Roman" w:hAnsi="Times New Roman" w:cs="Times New Roman"/>
          <w:sz w:val="24"/>
          <w:szCs w:val="24"/>
        </w:rPr>
        <w:t xml:space="preserve"> standard of financial reporting and </w:t>
      </w:r>
      <w:r w:rsidR="00FE60FB">
        <w:rPr>
          <w:rFonts w:ascii="Times New Roman" w:hAnsi="Times New Roman" w:cs="Times New Roman"/>
          <w:sz w:val="24"/>
          <w:szCs w:val="24"/>
        </w:rPr>
        <w:t xml:space="preserve">hence lower earnings manipulation. Our third measure is </w:t>
      </w:r>
      <w:r w:rsidR="00F32168">
        <w:rPr>
          <w:rFonts w:ascii="Times New Roman" w:hAnsi="Times New Roman" w:cs="Times New Roman"/>
          <w:sz w:val="24"/>
          <w:szCs w:val="24"/>
        </w:rPr>
        <w:t>p</w:t>
      </w:r>
      <w:r w:rsidR="00806A70">
        <w:rPr>
          <w:rFonts w:ascii="Times New Roman" w:hAnsi="Times New Roman" w:cs="Times New Roman"/>
          <w:sz w:val="24"/>
          <w:szCs w:val="24"/>
        </w:rPr>
        <w:t xml:space="preserve">ublic enforcement which measures the ability of regulatory agencies to punish or sanction </w:t>
      </w:r>
      <w:r w:rsidR="001A5DCC">
        <w:rPr>
          <w:rFonts w:ascii="Times New Roman" w:hAnsi="Times New Roman" w:cs="Times New Roman"/>
          <w:sz w:val="24"/>
          <w:szCs w:val="24"/>
        </w:rPr>
        <w:t xml:space="preserve">firms for violating securities laws (La Porta </w:t>
      </w:r>
      <w:r w:rsidR="00BD4102">
        <w:rPr>
          <w:rFonts w:ascii="Times New Roman" w:hAnsi="Times New Roman" w:cs="Times New Roman"/>
          <w:sz w:val="24"/>
          <w:szCs w:val="24"/>
        </w:rPr>
        <w:t>et al., 2006)</w:t>
      </w:r>
      <w:r w:rsidR="003107A0">
        <w:rPr>
          <w:rFonts w:ascii="Times New Roman" w:hAnsi="Times New Roman" w:cs="Times New Roman"/>
          <w:sz w:val="24"/>
          <w:szCs w:val="24"/>
        </w:rPr>
        <w:t>.</w:t>
      </w:r>
    </w:p>
    <w:p w14:paraId="3751C132" w14:textId="63702C87" w:rsidR="00E7725D" w:rsidRDefault="0087409A" w:rsidP="001578C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results are </w:t>
      </w:r>
      <w:r w:rsidR="009832DA">
        <w:rPr>
          <w:rFonts w:ascii="Times New Roman" w:hAnsi="Times New Roman" w:cs="Times New Roman"/>
          <w:sz w:val="24"/>
          <w:szCs w:val="24"/>
        </w:rPr>
        <w:t>reported in Table 9.</w:t>
      </w:r>
      <w:r w:rsidR="005332F1">
        <w:rPr>
          <w:rFonts w:ascii="Times New Roman" w:hAnsi="Times New Roman" w:cs="Times New Roman"/>
          <w:sz w:val="24"/>
          <w:szCs w:val="24"/>
        </w:rPr>
        <w:t xml:space="preserve"> We report </w:t>
      </w:r>
      <w:r w:rsidR="00E374EA">
        <w:rPr>
          <w:rFonts w:ascii="Times New Roman" w:hAnsi="Times New Roman" w:cs="Times New Roman"/>
          <w:sz w:val="24"/>
          <w:szCs w:val="24"/>
        </w:rPr>
        <w:t xml:space="preserve">results of re-estimation of Equations (3) and (4) as </w:t>
      </w:r>
      <w:r w:rsidR="00E374EA" w:rsidRPr="001578CB">
        <w:rPr>
          <w:rFonts w:ascii="Times New Roman" w:hAnsi="Times New Roman" w:cs="Times New Roman"/>
          <w:i/>
          <w:iCs/>
          <w:sz w:val="24"/>
          <w:szCs w:val="24"/>
        </w:rPr>
        <w:t>LAW</w:t>
      </w:r>
      <w:r w:rsidR="00E374EA">
        <w:rPr>
          <w:rFonts w:ascii="Times New Roman" w:hAnsi="Times New Roman" w:cs="Times New Roman"/>
          <w:sz w:val="24"/>
          <w:szCs w:val="24"/>
        </w:rPr>
        <w:t xml:space="preserve"> is our variable of interest in </w:t>
      </w:r>
      <w:r w:rsidR="000656F8">
        <w:rPr>
          <w:rFonts w:ascii="Times New Roman" w:hAnsi="Times New Roman" w:cs="Times New Roman"/>
          <w:sz w:val="24"/>
          <w:szCs w:val="24"/>
        </w:rPr>
        <w:t>this analysis.</w:t>
      </w:r>
      <w:r w:rsidR="009832DA">
        <w:rPr>
          <w:rFonts w:ascii="Times New Roman" w:hAnsi="Times New Roman" w:cs="Times New Roman"/>
          <w:sz w:val="24"/>
          <w:szCs w:val="24"/>
        </w:rPr>
        <w:t xml:space="preserve"> </w:t>
      </w:r>
      <w:r w:rsidR="0015723A">
        <w:rPr>
          <w:rFonts w:ascii="Times New Roman" w:hAnsi="Times New Roman" w:cs="Times New Roman"/>
          <w:sz w:val="24"/>
          <w:szCs w:val="24"/>
        </w:rPr>
        <w:t xml:space="preserve">Columns (1) and (2) report the results for common-law </w:t>
      </w:r>
      <w:r w:rsidR="00BC404C">
        <w:rPr>
          <w:rFonts w:ascii="Times New Roman" w:hAnsi="Times New Roman" w:cs="Times New Roman"/>
          <w:sz w:val="24"/>
          <w:szCs w:val="24"/>
        </w:rPr>
        <w:t>vs</w:t>
      </w:r>
      <w:r w:rsidR="0015723A">
        <w:rPr>
          <w:rFonts w:ascii="Times New Roman" w:hAnsi="Times New Roman" w:cs="Times New Roman"/>
          <w:sz w:val="24"/>
          <w:szCs w:val="24"/>
        </w:rPr>
        <w:t xml:space="preserve"> </w:t>
      </w:r>
      <w:r w:rsidR="00E63C8D">
        <w:rPr>
          <w:rFonts w:ascii="Times New Roman" w:hAnsi="Times New Roman" w:cs="Times New Roman"/>
          <w:sz w:val="24"/>
          <w:szCs w:val="24"/>
        </w:rPr>
        <w:t>code-law.</w:t>
      </w:r>
      <w:r w:rsidR="003107A0">
        <w:rPr>
          <w:rFonts w:ascii="Times New Roman" w:hAnsi="Times New Roman" w:cs="Times New Roman"/>
          <w:sz w:val="24"/>
          <w:szCs w:val="24"/>
        </w:rPr>
        <w:t xml:space="preserve"> </w:t>
      </w:r>
      <w:r w:rsidR="005046A8">
        <w:rPr>
          <w:rFonts w:ascii="Times New Roman" w:hAnsi="Times New Roman" w:cs="Times New Roman"/>
          <w:sz w:val="24"/>
          <w:szCs w:val="24"/>
        </w:rPr>
        <w:t xml:space="preserve">When we measure </w:t>
      </w:r>
      <w:r w:rsidR="005046A8" w:rsidRPr="001578CB">
        <w:rPr>
          <w:rFonts w:ascii="Times New Roman" w:hAnsi="Times New Roman" w:cs="Times New Roman"/>
          <w:i/>
          <w:iCs/>
          <w:sz w:val="24"/>
          <w:szCs w:val="24"/>
        </w:rPr>
        <w:t>LAW</w:t>
      </w:r>
      <w:r w:rsidR="005046A8">
        <w:rPr>
          <w:rFonts w:ascii="Times New Roman" w:hAnsi="Times New Roman" w:cs="Times New Roman"/>
          <w:sz w:val="24"/>
          <w:szCs w:val="24"/>
        </w:rPr>
        <w:t xml:space="preserve"> using legal origin,</w:t>
      </w:r>
      <w:r w:rsidR="00CD4AD0">
        <w:rPr>
          <w:rFonts w:ascii="Times New Roman" w:hAnsi="Times New Roman" w:cs="Times New Roman"/>
          <w:sz w:val="24"/>
          <w:szCs w:val="24"/>
        </w:rPr>
        <w:t xml:space="preserve"> the results are qualitatively similar to our main results in Table </w:t>
      </w:r>
      <w:r w:rsidR="007A5C3B">
        <w:rPr>
          <w:rFonts w:ascii="Times New Roman" w:hAnsi="Times New Roman" w:cs="Times New Roman"/>
          <w:sz w:val="24"/>
          <w:szCs w:val="24"/>
        </w:rPr>
        <w:t>6.</w:t>
      </w:r>
      <w:r w:rsidR="00DE03B9">
        <w:rPr>
          <w:rFonts w:ascii="Times New Roman" w:hAnsi="Times New Roman" w:cs="Times New Roman"/>
          <w:sz w:val="24"/>
          <w:szCs w:val="24"/>
        </w:rPr>
        <w:t xml:space="preserve"> Columns (3) and (4) report the results of the meas</w:t>
      </w:r>
      <w:r w:rsidR="00EF7C57">
        <w:rPr>
          <w:rFonts w:ascii="Times New Roman" w:hAnsi="Times New Roman" w:cs="Times New Roman"/>
          <w:sz w:val="24"/>
          <w:szCs w:val="24"/>
        </w:rPr>
        <w:t xml:space="preserve">ure of </w:t>
      </w:r>
      <w:r w:rsidR="00EF7C57" w:rsidRPr="001578CB">
        <w:rPr>
          <w:rFonts w:ascii="Times New Roman" w:hAnsi="Times New Roman" w:cs="Times New Roman"/>
          <w:i/>
          <w:iCs/>
          <w:sz w:val="24"/>
          <w:szCs w:val="24"/>
        </w:rPr>
        <w:t>LAW</w:t>
      </w:r>
      <w:r w:rsidR="00EF7C57">
        <w:rPr>
          <w:rFonts w:ascii="Times New Roman" w:hAnsi="Times New Roman" w:cs="Times New Roman"/>
          <w:sz w:val="24"/>
          <w:szCs w:val="24"/>
        </w:rPr>
        <w:t xml:space="preserve"> using anti-director rights index</w:t>
      </w:r>
      <w:r w:rsidR="009B2DBF">
        <w:rPr>
          <w:rFonts w:ascii="Times New Roman" w:hAnsi="Times New Roman" w:cs="Times New Roman"/>
          <w:sz w:val="24"/>
          <w:szCs w:val="24"/>
        </w:rPr>
        <w:t xml:space="preserve"> and the results are qualitatively similar</w:t>
      </w:r>
      <w:r w:rsidR="008D719D">
        <w:rPr>
          <w:rFonts w:ascii="Times New Roman" w:hAnsi="Times New Roman" w:cs="Times New Roman"/>
          <w:sz w:val="24"/>
          <w:szCs w:val="24"/>
        </w:rPr>
        <w:t xml:space="preserve"> to our results reported in Table 6</w:t>
      </w:r>
      <w:r w:rsidR="009B2DBF">
        <w:rPr>
          <w:rFonts w:ascii="Times New Roman" w:hAnsi="Times New Roman" w:cs="Times New Roman"/>
          <w:sz w:val="24"/>
          <w:szCs w:val="24"/>
        </w:rPr>
        <w:t xml:space="preserve"> </w:t>
      </w:r>
      <w:r w:rsidR="0077278F">
        <w:rPr>
          <w:rFonts w:ascii="Times New Roman" w:hAnsi="Times New Roman" w:cs="Times New Roman"/>
          <w:sz w:val="24"/>
          <w:szCs w:val="24"/>
        </w:rPr>
        <w:t xml:space="preserve">except for the coefficient on </w:t>
      </w:r>
      <w:r w:rsidR="0077278F" w:rsidRPr="001578CB">
        <w:rPr>
          <w:rFonts w:ascii="Times New Roman" w:hAnsi="Times New Roman" w:cs="Times New Roman"/>
          <w:i/>
          <w:iCs/>
          <w:sz w:val="24"/>
          <w:szCs w:val="24"/>
        </w:rPr>
        <w:t>AEM</w:t>
      </w:r>
      <w:r w:rsidR="0077278F">
        <w:rPr>
          <w:rFonts w:ascii="Times New Roman" w:hAnsi="Times New Roman" w:cs="Times New Roman"/>
          <w:sz w:val="24"/>
          <w:szCs w:val="24"/>
        </w:rPr>
        <w:t xml:space="preserve"> and </w:t>
      </w:r>
      <w:r w:rsidR="0077278F" w:rsidRPr="001578CB">
        <w:rPr>
          <w:rFonts w:ascii="Times New Roman" w:hAnsi="Times New Roman" w:cs="Times New Roman"/>
          <w:i/>
          <w:iCs/>
          <w:sz w:val="24"/>
          <w:szCs w:val="24"/>
        </w:rPr>
        <w:t>RAM</w:t>
      </w:r>
      <w:r w:rsidR="00456458">
        <w:rPr>
          <w:rFonts w:ascii="Times New Roman" w:hAnsi="Times New Roman" w:cs="Times New Roman"/>
          <w:sz w:val="24"/>
          <w:szCs w:val="24"/>
        </w:rPr>
        <w:t xml:space="preserve"> no</w:t>
      </w:r>
      <w:r w:rsidR="008B0CB5">
        <w:rPr>
          <w:rFonts w:ascii="Times New Roman" w:hAnsi="Times New Roman" w:cs="Times New Roman"/>
          <w:sz w:val="24"/>
          <w:szCs w:val="24"/>
        </w:rPr>
        <w:t>t</w:t>
      </w:r>
      <w:r w:rsidR="00456458">
        <w:rPr>
          <w:rFonts w:ascii="Times New Roman" w:hAnsi="Times New Roman" w:cs="Times New Roman"/>
          <w:sz w:val="24"/>
          <w:szCs w:val="24"/>
        </w:rPr>
        <w:t xml:space="preserve"> being significant</w:t>
      </w:r>
      <w:r w:rsidR="0077278F">
        <w:rPr>
          <w:rFonts w:ascii="Times New Roman" w:hAnsi="Times New Roman" w:cs="Times New Roman"/>
          <w:sz w:val="24"/>
          <w:szCs w:val="24"/>
        </w:rPr>
        <w:t xml:space="preserve">. </w:t>
      </w:r>
      <w:r w:rsidR="002827A4">
        <w:rPr>
          <w:rFonts w:ascii="Times New Roman" w:hAnsi="Times New Roman" w:cs="Times New Roman"/>
          <w:sz w:val="24"/>
          <w:szCs w:val="24"/>
        </w:rPr>
        <w:t>Columns (5) and (6) report the results of</w:t>
      </w:r>
      <w:r w:rsidR="009574CF">
        <w:rPr>
          <w:rFonts w:ascii="Times New Roman" w:hAnsi="Times New Roman" w:cs="Times New Roman"/>
          <w:sz w:val="24"/>
          <w:szCs w:val="24"/>
        </w:rPr>
        <w:t xml:space="preserve"> the measure of </w:t>
      </w:r>
      <w:r w:rsidR="009574CF" w:rsidRPr="001578CB">
        <w:rPr>
          <w:rFonts w:ascii="Times New Roman" w:hAnsi="Times New Roman" w:cs="Times New Roman"/>
          <w:i/>
          <w:iCs/>
          <w:sz w:val="24"/>
          <w:szCs w:val="24"/>
        </w:rPr>
        <w:t>LAW</w:t>
      </w:r>
      <w:r w:rsidR="009574CF">
        <w:rPr>
          <w:rFonts w:ascii="Times New Roman" w:hAnsi="Times New Roman" w:cs="Times New Roman"/>
          <w:sz w:val="24"/>
          <w:szCs w:val="24"/>
        </w:rPr>
        <w:t xml:space="preserve"> using public </w:t>
      </w:r>
      <w:r w:rsidR="009574CF">
        <w:rPr>
          <w:rFonts w:ascii="Times New Roman" w:hAnsi="Times New Roman" w:cs="Times New Roman"/>
          <w:sz w:val="24"/>
          <w:szCs w:val="24"/>
        </w:rPr>
        <w:lastRenderedPageBreak/>
        <w:t>enforcement</w:t>
      </w:r>
      <w:r w:rsidR="005454E8">
        <w:rPr>
          <w:rFonts w:ascii="Times New Roman" w:hAnsi="Times New Roman" w:cs="Times New Roman"/>
          <w:sz w:val="24"/>
          <w:szCs w:val="24"/>
        </w:rPr>
        <w:t xml:space="preserve"> and the results are </w:t>
      </w:r>
      <w:r w:rsidR="004B0D67">
        <w:rPr>
          <w:rFonts w:ascii="Times New Roman" w:hAnsi="Times New Roman" w:cs="Times New Roman"/>
          <w:sz w:val="24"/>
          <w:szCs w:val="24"/>
        </w:rPr>
        <w:t xml:space="preserve">qualitatively similar to </w:t>
      </w:r>
      <w:r w:rsidR="008D719D">
        <w:rPr>
          <w:rFonts w:ascii="Times New Roman" w:hAnsi="Times New Roman" w:cs="Times New Roman"/>
          <w:sz w:val="24"/>
          <w:szCs w:val="24"/>
        </w:rPr>
        <w:t>our main results in Table 6.</w:t>
      </w:r>
      <w:r w:rsidR="00A063E3">
        <w:rPr>
          <w:rFonts w:ascii="Times New Roman" w:hAnsi="Times New Roman" w:cs="Times New Roman"/>
          <w:sz w:val="24"/>
          <w:szCs w:val="24"/>
        </w:rPr>
        <w:t xml:space="preserve"> We conclude that our results are robust to alternative measure</w:t>
      </w:r>
      <w:r w:rsidR="00151934">
        <w:rPr>
          <w:rFonts w:ascii="Times New Roman" w:hAnsi="Times New Roman" w:cs="Times New Roman"/>
          <w:sz w:val="24"/>
          <w:szCs w:val="24"/>
        </w:rPr>
        <w:t>s</w:t>
      </w:r>
      <w:r w:rsidR="00A90102">
        <w:rPr>
          <w:rFonts w:ascii="Times New Roman" w:hAnsi="Times New Roman" w:cs="Times New Roman"/>
          <w:sz w:val="24"/>
          <w:szCs w:val="24"/>
        </w:rPr>
        <w:t xml:space="preserve"> for the</w:t>
      </w:r>
      <w:r w:rsidR="00A063E3">
        <w:rPr>
          <w:rFonts w:ascii="Times New Roman" w:hAnsi="Times New Roman" w:cs="Times New Roman"/>
          <w:sz w:val="24"/>
          <w:szCs w:val="24"/>
        </w:rPr>
        <w:t xml:space="preserve"> legal regime</w:t>
      </w:r>
      <w:r w:rsidR="00BE1497">
        <w:rPr>
          <w:rFonts w:ascii="Times New Roman" w:hAnsi="Times New Roman" w:cs="Times New Roman"/>
          <w:sz w:val="24"/>
          <w:szCs w:val="24"/>
        </w:rPr>
        <w:t>.</w:t>
      </w:r>
    </w:p>
    <w:p w14:paraId="12B2855C" w14:textId="0DFC8438" w:rsidR="00242E84" w:rsidRDefault="00242E84" w:rsidP="00242E84">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9</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about h</w:t>
      </w:r>
      <w:r w:rsidRPr="001D63A3">
        <w:rPr>
          <w:rFonts w:ascii="Times New Roman" w:hAnsi="Times New Roman" w:cs="Times New Roman"/>
          <w:b/>
          <w:bCs/>
          <w:iCs/>
          <w:sz w:val="24"/>
          <w:szCs w:val="24"/>
        </w:rPr>
        <w:t>ere]</w:t>
      </w:r>
    </w:p>
    <w:p w14:paraId="794217B8" w14:textId="62732A12" w:rsidR="008B0EE7" w:rsidRPr="00401C5F" w:rsidRDefault="008B0EE7" w:rsidP="008B0EE7">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5.</w:t>
      </w:r>
      <w:r w:rsidR="00976B2B">
        <w:rPr>
          <w:rFonts w:ascii="Times New Roman" w:hAnsi="Times New Roman" w:cs="Times New Roman"/>
          <w:i/>
          <w:iCs/>
          <w:sz w:val="24"/>
          <w:szCs w:val="24"/>
        </w:rPr>
        <w:t>1.</w:t>
      </w:r>
      <w:r w:rsidR="004C6545">
        <w:rPr>
          <w:rFonts w:ascii="Times New Roman" w:hAnsi="Times New Roman" w:cs="Times New Roman"/>
          <w:i/>
          <w:iCs/>
          <w:sz w:val="24"/>
          <w:szCs w:val="24"/>
        </w:rPr>
        <w:t>4.</w:t>
      </w:r>
      <w:r w:rsidRPr="00401C5F">
        <w:rPr>
          <w:rFonts w:ascii="Times New Roman" w:hAnsi="Times New Roman" w:cs="Times New Roman"/>
          <w:i/>
          <w:iCs/>
          <w:sz w:val="24"/>
          <w:szCs w:val="24"/>
        </w:rPr>
        <w:t xml:space="preserve"> Weighted least squares </w:t>
      </w:r>
      <w:r>
        <w:rPr>
          <w:rFonts w:ascii="Times New Roman" w:hAnsi="Times New Roman" w:cs="Times New Roman"/>
          <w:i/>
          <w:iCs/>
          <w:sz w:val="24"/>
          <w:szCs w:val="24"/>
        </w:rPr>
        <w:t xml:space="preserve">(WLS) </w:t>
      </w:r>
      <w:r w:rsidRPr="00401C5F">
        <w:rPr>
          <w:rFonts w:ascii="Times New Roman" w:hAnsi="Times New Roman" w:cs="Times New Roman"/>
          <w:i/>
          <w:iCs/>
          <w:sz w:val="24"/>
          <w:szCs w:val="24"/>
        </w:rPr>
        <w:t>regression analysis</w:t>
      </w:r>
    </w:p>
    <w:p w14:paraId="7794E43A" w14:textId="53240121" w:rsidR="008B0EE7" w:rsidRPr="00CD5568" w:rsidRDefault="008B0EE7"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 number of observations in each country is unequally represented in our sample, we conduct </w:t>
      </w:r>
      <w:r w:rsidRPr="0039641F">
        <w:rPr>
          <w:rFonts w:ascii="Times New Roman" w:hAnsi="Times New Roman" w:cs="Times New Roman"/>
          <w:sz w:val="24"/>
          <w:szCs w:val="24"/>
        </w:rPr>
        <w:t>WLS regression analysis</w:t>
      </w:r>
      <w:r>
        <w:rPr>
          <w:rFonts w:ascii="Times New Roman" w:hAnsi="Times New Roman" w:cs="Times New Roman"/>
          <w:sz w:val="24"/>
          <w:szCs w:val="24"/>
        </w:rPr>
        <w:t xml:space="preserve"> as a robustness check. </w:t>
      </w:r>
      <w:r w:rsidRPr="00CD5568">
        <w:rPr>
          <w:rFonts w:ascii="Times New Roman" w:hAnsi="Times New Roman" w:cs="Times New Roman"/>
          <w:sz w:val="24"/>
          <w:szCs w:val="24"/>
        </w:rPr>
        <w:t>The WLS regression analysis ensures that our results are not biased by countries that are heavily represented in our sample (Greene, 2003; Neter</w:t>
      </w:r>
      <w:r w:rsidR="00607C18">
        <w:rPr>
          <w:rFonts w:ascii="Times New Roman" w:hAnsi="Times New Roman" w:cs="Times New Roman"/>
          <w:sz w:val="24"/>
          <w:szCs w:val="24"/>
        </w:rPr>
        <w:t xml:space="preserve"> et al.</w:t>
      </w:r>
      <w:r>
        <w:rPr>
          <w:rFonts w:ascii="Times New Roman" w:hAnsi="Times New Roman" w:cs="Times New Roman"/>
          <w:sz w:val="24"/>
          <w:szCs w:val="24"/>
        </w:rPr>
        <w:t>,</w:t>
      </w:r>
      <w:r w:rsidRPr="00CD5568">
        <w:rPr>
          <w:rFonts w:ascii="Times New Roman" w:hAnsi="Times New Roman" w:cs="Times New Roman"/>
          <w:sz w:val="24"/>
          <w:szCs w:val="24"/>
        </w:rPr>
        <w:t xml:space="preserve"> 1996</w:t>
      </w:r>
      <w:r>
        <w:rPr>
          <w:rFonts w:ascii="Times New Roman" w:hAnsi="Times New Roman" w:cs="Times New Roman"/>
          <w:sz w:val="24"/>
          <w:szCs w:val="24"/>
        </w:rPr>
        <w:t>; Solon</w:t>
      </w:r>
      <w:r w:rsidR="00607C18">
        <w:rPr>
          <w:rFonts w:ascii="Times New Roman" w:hAnsi="Times New Roman" w:cs="Times New Roman"/>
          <w:sz w:val="24"/>
          <w:szCs w:val="24"/>
        </w:rPr>
        <w:t xml:space="preserve"> et al.</w:t>
      </w:r>
      <w:r>
        <w:rPr>
          <w:rFonts w:ascii="Times New Roman" w:hAnsi="Times New Roman" w:cs="Times New Roman"/>
          <w:sz w:val="24"/>
          <w:szCs w:val="24"/>
        </w:rPr>
        <w:t>, 2015)</w:t>
      </w:r>
      <w:r w:rsidRPr="0039641F">
        <w:rPr>
          <w:rFonts w:ascii="Times New Roman" w:hAnsi="Times New Roman" w:cs="Times New Roman"/>
          <w:sz w:val="24"/>
          <w:szCs w:val="24"/>
        </w:rPr>
        <w:t xml:space="preserve">. This approach </w:t>
      </w:r>
      <w:r>
        <w:rPr>
          <w:rFonts w:ascii="Times New Roman" w:hAnsi="Times New Roman" w:cs="Times New Roman"/>
          <w:sz w:val="24"/>
          <w:szCs w:val="24"/>
        </w:rPr>
        <w:t xml:space="preserve">weights </w:t>
      </w:r>
      <w:r w:rsidRPr="0039641F">
        <w:rPr>
          <w:rFonts w:ascii="Times New Roman" w:hAnsi="Times New Roman" w:cs="Times New Roman"/>
          <w:sz w:val="24"/>
          <w:szCs w:val="24"/>
        </w:rPr>
        <w:t>each</w:t>
      </w:r>
      <w:r>
        <w:rPr>
          <w:rFonts w:ascii="Times New Roman" w:hAnsi="Times New Roman" w:cs="Times New Roman"/>
          <w:sz w:val="24"/>
          <w:szCs w:val="24"/>
        </w:rPr>
        <w:t xml:space="preserve"> </w:t>
      </w:r>
      <w:r w:rsidRPr="00CD5568">
        <w:rPr>
          <w:rFonts w:ascii="Times New Roman" w:hAnsi="Times New Roman" w:cs="Times New Roman"/>
          <w:sz w:val="24"/>
          <w:szCs w:val="24"/>
        </w:rPr>
        <w:t>observation by the inverse of the number of observations in each country, so that each country receives equal treatment in the estimation (Greene, 2003; Neter et al., 1996).</w:t>
      </w:r>
    </w:p>
    <w:p w14:paraId="260484FA" w14:textId="21F4F0B7" w:rsidR="008B0EE7" w:rsidRDefault="008B0EE7" w:rsidP="008B0EE7">
      <w:pPr>
        <w:spacing w:after="0" w:line="480" w:lineRule="auto"/>
        <w:ind w:firstLine="284"/>
        <w:jc w:val="both"/>
        <w:rPr>
          <w:rFonts w:ascii="Times New Roman" w:hAnsi="Times New Roman" w:cs="Times New Roman"/>
          <w:sz w:val="24"/>
          <w:szCs w:val="24"/>
        </w:rPr>
      </w:pPr>
      <w:r w:rsidRPr="00CD5568">
        <w:rPr>
          <w:rFonts w:ascii="Times New Roman" w:hAnsi="Times New Roman" w:cs="Times New Roman"/>
          <w:sz w:val="24"/>
          <w:szCs w:val="24"/>
        </w:rPr>
        <w:t xml:space="preserve">The WLS regression results are reported in Table </w:t>
      </w:r>
      <w:r w:rsidR="008D6007">
        <w:rPr>
          <w:rFonts w:ascii="Times New Roman" w:hAnsi="Times New Roman" w:cs="Times New Roman"/>
          <w:sz w:val="24"/>
          <w:szCs w:val="24"/>
        </w:rPr>
        <w:t>10</w:t>
      </w:r>
      <w:r w:rsidRPr="00CD5568">
        <w:rPr>
          <w:rFonts w:ascii="Times New Roman" w:hAnsi="Times New Roman" w:cs="Times New Roman"/>
          <w:sz w:val="24"/>
          <w:szCs w:val="24"/>
        </w:rPr>
        <w:t xml:space="preserve">. Overall, the results </w:t>
      </w:r>
      <w:r>
        <w:rPr>
          <w:rFonts w:ascii="Times New Roman" w:hAnsi="Times New Roman" w:cs="Times New Roman"/>
          <w:sz w:val="24"/>
          <w:szCs w:val="24"/>
        </w:rPr>
        <w:t>for the variables of interest</w:t>
      </w:r>
      <w:r w:rsidRPr="00CD5568">
        <w:rPr>
          <w:rFonts w:ascii="Times New Roman" w:hAnsi="Times New Roman" w:cs="Times New Roman"/>
          <w:sz w:val="24"/>
          <w:szCs w:val="24"/>
        </w:rPr>
        <w:t xml:space="preserve"> are qualitatively</w:t>
      </w:r>
      <w:r>
        <w:rPr>
          <w:rFonts w:ascii="Times New Roman" w:hAnsi="Times New Roman" w:cs="Times New Roman"/>
          <w:sz w:val="24"/>
          <w:szCs w:val="24"/>
        </w:rPr>
        <w:t xml:space="preserve"> similar to those presented in Table </w:t>
      </w:r>
      <w:r w:rsidR="00A063E3">
        <w:rPr>
          <w:rFonts w:ascii="Times New Roman" w:hAnsi="Times New Roman" w:cs="Times New Roman"/>
          <w:sz w:val="24"/>
          <w:szCs w:val="24"/>
        </w:rPr>
        <w:t>6</w:t>
      </w:r>
      <w:r>
        <w:rPr>
          <w:rFonts w:ascii="Times New Roman" w:hAnsi="Times New Roman" w:cs="Times New Roman"/>
          <w:sz w:val="24"/>
          <w:szCs w:val="24"/>
        </w:rPr>
        <w:t xml:space="preserve">, in terms of both the </w:t>
      </w:r>
      <w:r w:rsidR="00B817C0">
        <w:rPr>
          <w:rFonts w:ascii="Times New Roman" w:hAnsi="Times New Roman" w:cs="Times New Roman"/>
          <w:sz w:val="24"/>
          <w:szCs w:val="24"/>
        </w:rPr>
        <w:t>sign</w:t>
      </w:r>
      <w:r w:rsidR="00B958C1">
        <w:rPr>
          <w:rFonts w:ascii="Times New Roman" w:hAnsi="Times New Roman" w:cs="Times New Roman"/>
          <w:sz w:val="24"/>
          <w:szCs w:val="24"/>
        </w:rPr>
        <w:t xml:space="preserve"> of the </w:t>
      </w:r>
      <w:r>
        <w:rPr>
          <w:rFonts w:ascii="Times New Roman" w:hAnsi="Times New Roman" w:cs="Times New Roman"/>
          <w:sz w:val="24"/>
          <w:szCs w:val="24"/>
        </w:rPr>
        <w:t>coefficient</w:t>
      </w:r>
      <w:r w:rsidR="00B958C1">
        <w:rPr>
          <w:rFonts w:ascii="Times New Roman" w:hAnsi="Times New Roman" w:cs="Times New Roman"/>
          <w:sz w:val="24"/>
          <w:szCs w:val="24"/>
        </w:rPr>
        <w:t>s</w:t>
      </w:r>
      <w:r>
        <w:rPr>
          <w:rFonts w:ascii="Times New Roman" w:hAnsi="Times New Roman" w:cs="Times New Roman"/>
          <w:sz w:val="24"/>
          <w:szCs w:val="24"/>
        </w:rPr>
        <w:t xml:space="preserve"> and the levels of statistical significance. Consequently, we conclude that our main results are not biased by countries that are heavily represented in our sample.</w:t>
      </w:r>
    </w:p>
    <w:p w14:paraId="166E20B2" w14:textId="793587E1" w:rsidR="008B0EE7" w:rsidRDefault="008B0EE7" w:rsidP="008B0EE7">
      <w:pPr>
        <w:spacing w:after="0" w:line="480" w:lineRule="auto"/>
        <w:jc w:val="center"/>
        <w:rPr>
          <w:rFonts w:ascii="Times New Roman" w:hAnsi="Times New Roman" w:cs="Times New Roman"/>
          <w:sz w:val="24"/>
          <w:szCs w:val="24"/>
        </w:rPr>
      </w:pPr>
      <w:r w:rsidRPr="001D63A3">
        <w:rPr>
          <w:rFonts w:ascii="Times New Roman" w:hAnsi="Times New Roman" w:cs="Times New Roman"/>
          <w:b/>
          <w:bCs/>
          <w:iCs/>
          <w:sz w:val="24"/>
          <w:szCs w:val="24"/>
        </w:rPr>
        <w:t>[Insert T</w:t>
      </w:r>
      <w:r w:rsidR="00556A90">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sidR="004C6545">
        <w:rPr>
          <w:rFonts w:ascii="Times New Roman" w:hAnsi="Times New Roman" w:cs="Times New Roman"/>
          <w:b/>
          <w:bCs/>
          <w:iCs/>
          <w:sz w:val="24"/>
          <w:szCs w:val="24"/>
        </w:rPr>
        <w:t>10</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about h</w:t>
      </w:r>
      <w:r w:rsidRPr="001D63A3">
        <w:rPr>
          <w:rFonts w:ascii="Times New Roman" w:hAnsi="Times New Roman" w:cs="Times New Roman"/>
          <w:b/>
          <w:bCs/>
          <w:iCs/>
          <w:sz w:val="24"/>
          <w:szCs w:val="24"/>
        </w:rPr>
        <w:t>ere]</w:t>
      </w:r>
    </w:p>
    <w:p w14:paraId="19E91725" w14:textId="28457059" w:rsidR="008B0EE7" w:rsidRPr="009A0D42" w:rsidRDefault="008B0EE7" w:rsidP="008B0EE7">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5.</w:t>
      </w:r>
      <w:r w:rsidR="00EB724B">
        <w:rPr>
          <w:rFonts w:ascii="Times New Roman" w:hAnsi="Times New Roman" w:cs="Times New Roman"/>
          <w:i/>
          <w:iCs/>
          <w:sz w:val="24"/>
          <w:szCs w:val="24"/>
        </w:rPr>
        <w:t>1.</w:t>
      </w:r>
      <w:r w:rsidR="004C6545">
        <w:rPr>
          <w:rFonts w:ascii="Times New Roman" w:hAnsi="Times New Roman" w:cs="Times New Roman"/>
          <w:i/>
          <w:iCs/>
          <w:sz w:val="24"/>
          <w:szCs w:val="24"/>
        </w:rPr>
        <w:t>5</w:t>
      </w:r>
      <w:r>
        <w:rPr>
          <w:rFonts w:ascii="Times New Roman" w:hAnsi="Times New Roman" w:cs="Times New Roman"/>
          <w:i/>
          <w:iCs/>
          <w:sz w:val="24"/>
          <w:szCs w:val="24"/>
        </w:rPr>
        <w:t>.</w:t>
      </w:r>
      <w:r w:rsidRPr="009A0D42">
        <w:rPr>
          <w:rFonts w:ascii="Times New Roman" w:hAnsi="Times New Roman" w:cs="Times New Roman"/>
          <w:i/>
          <w:iCs/>
          <w:sz w:val="24"/>
          <w:szCs w:val="24"/>
        </w:rPr>
        <w:t xml:space="preserve"> Re</w:t>
      </w:r>
      <w:r>
        <w:rPr>
          <w:rFonts w:ascii="Times New Roman" w:hAnsi="Times New Roman" w:cs="Times New Roman"/>
          <w:i/>
          <w:iCs/>
          <w:sz w:val="24"/>
          <w:szCs w:val="24"/>
        </w:rPr>
        <w:t>gression re</w:t>
      </w:r>
      <w:r w:rsidRPr="009A0D42">
        <w:rPr>
          <w:rFonts w:ascii="Times New Roman" w:hAnsi="Times New Roman" w:cs="Times New Roman"/>
          <w:i/>
          <w:iCs/>
          <w:sz w:val="24"/>
          <w:szCs w:val="24"/>
        </w:rPr>
        <w:t xml:space="preserve">sults after dropping </w:t>
      </w:r>
      <w:r>
        <w:rPr>
          <w:rFonts w:ascii="Times New Roman" w:hAnsi="Times New Roman" w:cs="Times New Roman"/>
          <w:i/>
          <w:iCs/>
          <w:sz w:val="24"/>
          <w:szCs w:val="24"/>
        </w:rPr>
        <w:t>countries with small sample sizes</w:t>
      </w:r>
    </w:p>
    <w:p w14:paraId="1E29AF0D" w14:textId="47425CCC" w:rsidR="008B0EE7" w:rsidRDefault="008B0EE7"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ensure that countries with fewer observations in our sample do not drive our main results, we re-estimate our regression model</w:t>
      </w:r>
      <w:r w:rsidR="00474D3B">
        <w:rPr>
          <w:rFonts w:ascii="Times New Roman" w:hAnsi="Times New Roman" w:cs="Times New Roman"/>
          <w:sz w:val="24"/>
          <w:szCs w:val="24"/>
        </w:rPr>
        <w:t>s</w:t>
      </w:r>
      <w:r>
        <w:rPr>
          <w:rFonts w:ascii="Times New Roman" w:hAnsi="Times New Roman" w:cs="Times New Roman"/>
          <w:sz w:val="24"/>
          <w:szCs w:val="24"/>
        </w:rPr>
        <w:t xml:space="preserve"> using only those countries with more than 100 observations. As a result, the observations from Austria, Belgium, Greece, Ireland, </w:t>
      </w:r>
      <w:r w:rsidR="00BD315D">
        <w:rPr>
          <w:rFonts w:ascii="Times New Roman" w:hAnsi="Times New Roman" w:cs="Times New Roman"/>
          <w:sz w:val="24"/>
          <w:szCs w:val="24"/>
        </w:rPr>
        <w:t>Netherlands,</w:t>
      </w:r>
      <w:r>
        <w:rPr>
          <w:rFonts w:ascii="Times New Roman" w:hAnsi="Times New Roman" w:cs="Times New Roman"/>
          <w:sz w:val="24"/>
          <w:szCs w:val="24"/>
        </w:rPr>
        <w:t xml:space="preserve"> and Portugal are dropped from our empirical analysis.</w:t>
      </w:r>
    </w:p>
    <w:p w14:paraId="402D3993" w14:textId="488C1F96" w:rsidR="008B0EE7"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regression results are presented in Table </w:t>
      </w:r>
      <w:r w:rsidR="008C44BE">
        <w:rPr>
          <w:rFonts w:ascii="Times New Roman" w:hAnsi="Times New Roman" w:cs="Times New Roman"/>
          <w:sz w:val="24"/>
          <w:szCs w:val="24"/>
        </w:rPr>
        <w:t>11</w:t>
      </w:r>
      <w:r>
        <w:rPr>
          <w:rFonts w:ascii="Times New Roman" w:hAnsi="Times New Roman" w:cs="Times New Roman"/>
          <w:sz w:val="24"/>
          <w:szCs w:val="24"/>
        </w:rPr>
        <w:t xml:space="preserve">. We observe that the results are comparable to those reported in Table </w:t>
      </w:r>
      <w:r w:rsidR="008C44BE">
        <w:rPr>
          <w:rFonts w:ascii="Times New Roman" w:hAnsi="Times New Roman" w:cs="Times New Roman"/>
          <w:sz w:val="24"/>
          <w:szCs w:val="24"/>
        </w:rPr>
        <w:t>6</w:t>
      </w:r>
      <w:r>
        <w:rPr>
          <w:rFonts w:ascii="Times New Roman" w:hAnsi="Times New Roman" w:cs="Times New Roman"/>
          <w:sz w:val="24"/>
          <w:szCs w:val="24"/>
        </w:rPr>
        <w:t xml:space="preserve">, in terms of both the </w:t>
      </w:r>
      <w:r w:rsidR="001B3AC7">
        <w:rPr>
          <w:rFonts w:ascii="Times New Roman" w:hAnsi="Times New Roman" w:cs="Times New Roman"/>
          <w:sz w:val="24"/>
          <w:szCs w:val="24"/>
        </w:rPr>
        <w:t xml:space="preserve">sign of the </w:t>
      </w:r>
      <w:r>
        <w:rPr>
          <w:rFonts w:ascii="Times New Roman" w:hAnsi="Times New Roman" w:cs="Times New Roman"/>
          <w:sz w:val="24"/>
          <w:szCs w:val="24"/>
        </w:rPr>
        <w:t>coefficient</w:t>
      </w:r>
      <w:r w:rsidR="001B3AC7">
        <w:rPr>
          <w:rFonts w:ascii="Times New Roman" w:hAnsi="Times New Roman" w:cs="Times New Roman"/>
          <w:sz w:val="24"/>
          <w:szCs w:val="24"/>
        </w:rPr>
        <w:t>s</w:t>
      </w:r>
      <w:r>
        <w:rPr>
          <w:rFonts w:ascii="Times New Roman" w:hAnsi="Times New Roman" w:cs="Times New Roman"/>
          <w:sz w:val="24"/>
          <w:szCs w:val="24"/>
        </w:rPr>
        <w:t xml:space="preserve"> and the levels of statistical significance.</w:t>
      </w:r>
      <w:r w:rsidRPr="00FA0EFB">
        <w:rPr>
          <w:rFonts w:ascii="Times New Roman" w:hAnsi="Times New Roman" w:cs="Times New Roman"/>
          <w:sz w:val="24"/>
          <w:szCs w:val="24"/>
        </w:rPr>
        <w:t xml:space="preserve"> </w:t>
      </w:r>
      <w:r>
        <w:rPr>
          <w:rFonts w:ascii="Times New Roman" w:hAnsi="Times New Roman" w:cs="Times New Roman"/>
          <w:sz w:val="24"/>
          <w:szCs w:val="24"/>
        </w:rPr>
        <w:t>Consequently, we conclude that countries with fewer observations do not drive our main empirical results.</w:t>
      </w:r>
    </w:p>
    <w:p w14:paraId="22068A8E" w14:textId="44EAFB1B" w:rsidR="008B0EE7" w:rsidRDefault="008B0EE7" w:rsidP="008B0EE7">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sidR="00B960EC">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1</w:t>
      </w:r>
      <w:r w:rsidR="004C6545">
        <w:rPr>
          <w:rFonts w:ascii="Times New Roman" w:hAnsi="Times New Roman" w:cs="Times New Roman"/>
          <w:b/>
          <w:bCs/>
          <w:iCs/>
          <w:sz w:val="24"/>
          <w:szCs w:val="24"/>
        </w:rPr>
        <w:t>1</w:t>
      </w:r>
      <w:r w:rsidR="00B960EC">
        <w:rPr>
          <w:rFonts w:ascii="Times New Roman" w:hAnsi="Times New Roman" w:cs="Times New Roman"/>
          <w:b/>
          <w:bCs/>
          <w:iCs/>
          <w:sz w:val="24"/>
          <w:szCs w:val="24"/>
        </w:rPr>
        <w:t xml:space="preserve"> about</w:t>
      </w:r>
      <w:r w:rsidRPr="001D63A3">
        <w:rPr>
          <w:rFonts w:ascii="Times New Roman" w:hAnsi="Times New Roman" w:cs="Times New Roman"/>
          <w:b/>
          <w:bCs/>
          <w:iCs/>
          <w:sz w:val="24"/>
          <w:szCs w:val="24"/>
        </w:rPr>
        <w:t xml:space="preserve"> </w:t>
      </w:r>
      <w:r w:rsidR="00B960EC">
        <w:rPr>
          <w:rFonts w:ascii="Times New Roman" w:hAnsi="Times New Roman" w:cs="Times New Roman"/>
          <w:b/>
          <w:bCs/>
          <w:iCs/>
          <w:sz w:val="24"/>
          <w:szCs w:val="24"/>
        </w:rPr>
        <w:t>h</w:t>
      </w:r>
      <w:r w:rsidRPr="001D63A3">
        <w:rPr>
          <w:rFonts w:ascii="Times New Roman" w:hAnsi="Times New Roman" w:cs="Times New Roman"/>
          <w:b/>
          <w:bCs/>
          <w:iCs/>
          <w:sz w:val="24"/>
          <w:szCs w:val="24"/>
        </w:rPr>
        <w:t>ere]</w:t>
      </w:r>
    </w:p>
    <w:p w14:paraId="1104CFF7" w14:textId="62EA018F" w:rsidR="00EB724B" w:rsidRDefault="00EB724B" w:rsidP="00EB724B">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5.2.</w:t>
      </w:r>
      <w:r w:rsidRPr="009A0D42">
        <w:rPr>
          <w:rFonts w:ascii="Times New Roman" w:hAnsi="Times New Roman" w:cs="Times New Roman"/>
          <w:i/>
          <w:iCs/>
          <w:sz w:val="24"/>
          <w:szCs w:val="24"/>
        </w:rPr>
        <w:t xml:space="preserve"> </w:t>
      </w:r>
      <w:r>
        <w:rPr>
          <w:rFonts w:ascii="Times New Roman" w:hAnsi="Times New Roman" w:cs="Times New Roman"/>
          <w:i/>
          <w:iCs/>
          <w:sz w:val="24"/>
          <w:szCs w:val="24"/>
        </w:rPr>
        <w:t>Endogeneity tests</w:t>
      </w:r>
    </w:p>
    <w:p w14:paraId="3D640798" w14:textId="69E8141E" w:rsidR="0001057D" w:rsidRDefault="001178E9" w:rsidP="00EB72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address endogeneity concerns </w:t>
      </w:r>
      <w:r w:rsidR="00723876">
        <w:rPr>
          <w:rFonts w:ascii="Times New Roman" w:hAnsi="Times New Roman" w:cs="Times New Roman"/>
          <w:sz w:val="24"/>
          <w:szCs w:val="24"/>
        </w:rPr>
        <w:t>by implementing a two-stage</w:t>
      </w:r>
      <w:r w:rsidR="008B0CB5">
        <w:rPr>
          <w:rFonts w:ascii="Times New Roman" w:hAnsi="Times New Roman" w:cs="Times New Roman"/>
          <w:sz w:val="24"/>
          <w:szCs w:val="24"/>
        </w:rPr>
        <w:t xml:space="preserve"> </w:t>
      </w:r>
      <w:r w:rsidR="00723876">
        <w:rPr>
          <w:rFonts w:ascii="Times New Roman" w:hAnsi="Times New Roman" w:cs="Times New Roman"/>
          <w:sz w:val="24"/>
          <w:szCs w:val="24"/>
        </w:rPr>
        <w:t>least-squares (2SLS) regression</w:t>
      </w:r>
      <w:r w:rsidR="002539B9">
        <w:rPr>
          <w:rFonts w:ascii="Times New Roman" w:hAnsi="Times New Roman" w:cs="Times New Roman"/>
          <w:sz w:val="24"/>
          <w:szCs w:val="24"/>
        </w:rPr>
        <w:t xml:space="preserve"> and stepwise regression.</w:t>
      </w:r>
      <w:r w:rsidR="00380921">
        <w:rPr>
          <w:rFonts w:ascii="Times New Roman" w:hAnsi="Times New Roman" w:cs="Times New Roman"/>
          <w:sz w:val="24"/>
          <w:szCs w:val="24"/>
        </w:rPr>
        <w:t xml:space="preserve"> We report </w:t>
      </w:r>
      <w:r w:rsidR="00621313">
        <w:rPr>
          <w:rFonts w:ascii="Times New Roman" w:hAnsi="Times New Roman" w:cs="Times New Roman"/>
          <w:sz w:val="24"/>
          <w:szCs w:val="24"/>
        </w:rPr>
        <w:t>our results in Table 12</w:t>
      </w:r>
      <w:r w:rsidR="00444136">
        <w:rPr>
          <w:rFonts w:ascii="Times New Roman" w:hAnsi="Times New Roman" w:cs="Times New Roman"/>
          <w:sz w:val="24"/>
          <w:szCs w:val="24"/>
        </w:rPr>
        <w:t xml:space="preserve">. </w:t>
      </w:r>
      <w:r w:rsidR="003B4145">
        <w:rPr>
          <w:rFonts w:ascii="Times New Roman" w:hAnsi="Times New Roman" w:cs="Times New Roman"/>
          <w:sz w:val="24"/>
          <w:szCs w:val="24"/>
        </w:rPr>
        <w:t>We use</w:t>
      </w:r>
      <w:r w:rsidR="00713F10">
        <w:rPr>
          <w:rFonts w:ascii="Times New Roman" w:hAnsi="Times New Roman" w:cs="Times New Roman"/>
          <w:sz w:val="24"/>
          <w:szCs w:val="24"/>
        </w:rPr>
        <w:t xml:space="preserve"> the country-year </w:t>
      </w:r>
      <w:r w:rsidR="00662A52">
        <w:rPr>
          <w:rFonts w:ascii="Times New Roman" w:hAnsi="Times New Roman" w:cs="Times New Roman"/>
          <w:sz w:val="24"/>
          <w:szCs w:val="24"/>
        </w:rPr>
        <w:t xml:space="preserve">mean </w:t>
      </w:r>
      <w:r w:rsidR="00662A52" w:rsidRPr="001578CB">
        <w:rPr>
          <w:rFonts w:ascii="Times New Roman" w:hAnsi="Times New Roman" w:cs="Times New Roman"/>
          <w:i/>
          <w:iCs/>
          <w:sz w:val="24"/>
          <w:szCs w:val="24"/>
        </w:rPr>
        <w:t>AEM</w:t>
      </w:r>
      <w:r w:rsidR="008340E0">
        <w:rPr>
          <w:rFonts w:ascii="Times New Roman" w:hAnsi="Times New Roman" w:cs="Times New Roman"/>
          <w:i/>
          <w:iCs/>
          <w:sz w:val="24"/>
          <w:szCs w:val="24"/>
        </w:rPr>
        <w:t>_M</w:t>
      </w:r>
      <w:r w:rsidR="00662A52">
        <w:rPr>
          <w:rFonts w:ascii="Times New Roman" w:hAnsi="Times New Roman" w:cs="Times New Roman"/>
          <w:sz w:val="24"/>
          <w:szCs w:val="24"/>
        </w:rPr>
        <w:t xml:space="preserve"> (</w:t>
      </w:r>
      <w:r w:rsidR="00662A52" w:rsidRPr="001578CB">
        <w:rPr>
          <w:rFonts w:ascii="Times New Roman" w:hAnsi="Times New Roman" w:cs="Times New Roman"/>
          <w:i/>
          <w:iCs/>
          <w:sz w:val="24"/>
          <w:szCs w:val="24"/>
        </w:rPr>
        <w:t>RAM</w:t>
      </w:r>
      <w:r w:rsidR="008340E0">
        <w:rPr>
          <w:rFonts w:ascii="Times New Roman" w:hAnsi="Times New Roman" w:cs="Times New Roman"/>
          <w:i/>
          <w:iCs/>
          <w:sz w:val="24"/>
          <w:szCs w:val="24"/>
        </w:rPr>
        <w:t>_M</w:t>
      </w:r>
      <w:r w:rsidR="00662A52">
        <w:rPr>
          <w:rFonts w:ascii="Times New Roman" w:hAnsi="Times New Roman" w:cs="Times New Roman"/>
          <w:sz w:val="24"/>
          <w:szCs w:val="24"/>
        </w:rPr>
        <w:t>) as our instrument</w:t>
      </w:r>
      <w:r w:rsidR="00800280">
        <w:rPr>
          <w:rFonts w:ascii="Times New Roman" w:hAnsi="Times New Roman" w:cs="Times New Roman"/>
          <w:sz w:val="24"/>
          <w:szCs w:val="24"/>
        </w:rPr>
        <w:t>s</w:t>
      </w:r>
      <w:r w:rsidR="00662A52">
        <w:rPr>
          <w:rFonts w:ascii="Times New Roman" w:hAnsi="Times New Roman" w:cs="Times New Roman"/>
          <w:sz w:val="24"/>
          <w:szCs w:val="24"/>
        </w:rPr>
        <w:t>.</w:t>
      </w:r>
      <w:r w:rsidR="000F7E80">
        <w:rPr>
          <w:rStyle w:val="FootnoteReference"/>
          <w:rFonts w:ascii="Times New Roman" w:hAnsi="Times New Roman" w:cs="Times New Roman"/>
          <w:sz w:val="24"/>
          <w:szCs w:val="24"/>
        </w:rPr>
        <w:footnoteReference w:id="3"/>
      </w:r>
      <w:r w:rsidR="00662A52">
        <w:rPr>
          <w:rFonts w:ascii="Times New Roman" w:hAnsi="Times New Roman" w:cs="Times New Roman"/>
          <w:sz w:val="24"/>
          <w:szCs w:val="24"/>
        </w:rPr>
        <w:t xml:space="preserve"> We expect th</w:t>
      </w:r>
      <w:r w:rsidR="008E5383">
        <w:rPr>
          <w:rFonts w:ascii="Times New Roman" w:hAnsi="Times New Roman" w:cs="Times New Roman"/>
          <w:sz w:val="24"/>
          <w:szCs w:val="24"/>
        </w:rPr>
        <w:t xml:space="preserve">is to affect </w:t>
      </w:r>
      <w:r w:rsidR="008E5383" w:rsidRPr="001578CB">
        <w:rPr>
          <w:rFonts w:ascii="Times New Roman" w:hAnsi="Times New Roman" w:cs="Times New Roman"/>
          <w:i/>
          <w:iCs/>
          <w:sz w:val="24"/>
          <w:szCs w:val="24"/>
        </w:rPr>
        <w:t>AEM</w:t>
      </w:r>
      <w:r w:rsidR="008E5383">
        <w:rPr>
          <w:rFonts w:ascii="Times New Roman" w:hAnsi="Times New Roman" w:cs="Times New Roman"/>
          <w:sz w:val="24"/>
          <w:szCs w:val="24"/>
        </w:rPr>
        <w:t xml:space="preserve"> (</w:t>
      </w:r>
      <w:r w:rsidR="008E5383" w:rsidRPr="001578CB">
        <w:rPr>
          <w:rFonts w:ascii="Times New Roman" w:hAnsi="Times New Roman" w:cs="Times New Roman"/>
          <w:i/>
          <w:iCs/>
          <w:sz w:val="24"/>
          <w:szCs w:val="24"/>
        </w:rPr>
        <w:t>RAM</w:t>
      </w:r>
      <w:r w:rsidR="008E5383">
        <w:rPr>
          <w:rFonts w:ascii="Times New Roman" w:hAnsi="Times New Roman" w:cs="Times New Roman"/>
          <w:sz w:val="24"/>
          <w:szCs w:val="24"/>
        </w:rPr>
        <w:t>) because a</w:t>
      </w:r>
      <w:r w:rsidR="00484537">
        <w:rPr>
          <w:rFonts w:ascii="Times New Roman" w:hAnsi="Times New Roman" w:cs="Times New Roman"/>
          <w:sz w:val="24"/>
          <w:szCs w:val="24"/>
        </w:rPr>
        <w:t xml:space="preserve"> firm</w:t>
      </w:r>
      <w:r w:rsidR="003D3A20">
        <w:rPr>
          <w:rFonts w:ascii="Times New Roman" w:hAnsi="Times New Roman" w:cs="Times New Roman"/>
          <w:sz w:val="24"/>
          <w:szCs w:val="24"/>
        </w:rPr>
        <w:t>’</w:t>
      </w:r>
      <w:r w:rsidR="00484537">
        <w:rPr>
          <w:rFonts w:ascii="Times New Roman" w:hAnsi="Times New Roman" w:cs="Times New Roman"/>
          <w:sz w:val="24"/>
          <w:szCs w:val="24"/>
        </w:rPr>
        <w:t>s incentives and ability to engage in earnings management</w:t>
      </w:r>
      <w:r w:rsidR="007A361E">
        <w:rPr>
          <w:rFonts w:ascii="Times New Roman" w:hAnsi="Times New Roman" w:cs="Times New Roman"/>
          <w:sz w:val="24"/>
          <w:szCs w:val="24"/>
        </w:rPr>
        <w:t xml:space="preserve"> </w:t>
      </w:r>
      <w:r w:rsidR="005B1499">
        <w:rPr>
          <w:rFonts w:ascii="Times New Roman" w:hAnsi="Times New Roman" w:cs="Times New Roman"/>
          <w:sz w:val="24"/>
          <w:szCs w:val="24"/>
        </w:rPr>
        <w:t>are</w:t>
      </w:r>
      <w:r w:rsidR="007A361E">
        <w:rPr>
          <w:rFonts w:ascii="Times New Roman" w:hAnsi="Times New Roman" w:cs="Times New Roman"/>
          <w:sz w:val="24"/>
          <w:szCs w:val="24"/>
        </w:rPr>
        <w:t xml:space="preserve"> influenced by </w:t>
      </w:r>
      <w:r w:rsidR="005B1499">
        <w:rPr>
          <w:rFonts w:ascii="Times New Roman" w:hAnsi="Times New Roman" w:cs="Times New Roman"/>
          <w:sz w:val="24"/>
          <w:szCs w:val="24"/>
        </w:rPr>
        <w:t>its</w:t>
      </w:r>
      <w:r w:rsidR="003D21C9">
        <w:rPr>
          <w:rFonts w:ascii="Times New Roman" w:hAnsi="Times New Roman" w:cs="Times New Roman"/>
          <w:sz w:val="24"/>
          <w:szCs w:val="24"/>
        </w:rPr>
        <w:t xml:space="preserve"> </w:t>
      </w:r>
      <w:r w:rsidR="00E251D3">
        <w:rPr>
          <w:rFonts w:ascii="Times New Roman" w:hAnsi="Times New Roman" w:cs="Times New Roman"/>
          <w:sz w:val="24"/>
          <w:szCs w:val="24"/>
        </w:rPr>
        <w:t>peer’s</w:t>
      </w:r>
      <w:r w:rsidR="002F025B">
        <w:rPr>
          <w:rFonts w:ascii="Times New Roman" w:hAnsi="Times New Roman" w:cs="Times New Roman"/>
          <w:sz w:val="24"/>
          <w:szCs w:val="24"/>
        </w:rPr>
        <w:t xml:space="preserve"> </w:t>
      </w:r>
      <w:r w:rsidR="003D21C9">
        <w:rPr>
          <w:rFonts w:ascii="Times New Roman" w:hAnsi="Times New Roman" w:cs="Times New Roman"/>
          <w:sz w:val="24"/>
          <w:szCs w:val="24"/>
        </w:rPr>
        <w:t>earnings management practices and the</w:t>
      </w:r>
      <w:r w:rsidR="007A361E">
        <w:rPr>
          <w:rFonts w:ascii="Times New Roman" w:hAnsi="Times New Roman" w:cs="Times New Roman"/>
          <w:sz w:val="24"/>
          <w:szCs w:val="24"/>
        </w:rPr>
        <w:t xml:space="preserve"> </w:t>
      </w:r>
      <w:r w:rsidR="008E5383">
        <w:rPr>
          <w:rFonts w:ascii="Times New Roman" w:hAnsi="Times New Roman" w:cs="Times New Roman"/>
          <w:sz w:val="24"/>
          <w:szCs w:val="24"/>
        </w:rPr>
        <w:t>countr</w:t>
      </w:r>
      <w:r w:rsidR="005D1A8A">
        <w:rPr>
          <w:rFonts w:ascii="Times New Roman" w:hAnsi="Times New Roman" w:cs="Times New Roman"/>
          <w:sz w:val="24"/>
          <w:szCs w:val="24"/>
        </w:rPr>
        <w:t xml:space="preserve">y’s legal </w:t>
      </w:r>
      <w:r w:rsidR="00375DD5">
        <w:rPr>
          <w:rFonts w:ascii="Times New Roman" w:hAnsi="Times New Roman" w:cs="Times New Roman"/>
          <w:sz w:val="24"/>
          <w:szCs w:val="24"/>
        </w:rPr>
        <w:t>regime</w:t>
      </w:r>
      <w:r w:rsidR="007E250E">
        <w:rPr>
          <w:rFonts w:ascii="Times New Roman" w:hAnsi="Times New Roman" w:cs="Times New Roman"/>
          <w:sz w:val="24"/>
          <w:szCs w:val="24"/>
        </w:rPr>
        <w:t>.</w:t>
      </w:r>
      <w:r w:rsidR="008248A0">
        <w:rPr>
          <w:rFonts w:ascii="Times New Roman" w:hAnsi="Times New Roman" w:cs="Times New Roman"/>
          <w:sz w:val="24"/>
          <w:szCs w:val="24"/>
        </w:rPr>
        <w:t xml:space="preserve"> </w:t>
      </w:r>
      <w:r w:rsidR="0069457A">
        <w:rPr>
          <w:rFonts w:ascii="Times New Roman" w:hAnsi="Times New Roman" w:cs="Times New Roman"/>
          <w:sz w:val="24"/>
          <w:szCs w:val="24"/>
        </w:rPr>
        <w:t xml:space="preserve">We do not expect that the mean </w:t>
      </w:r>
      <w:r w:rsidR="0069457A" w:rsidRPr="001578CB">
        <w:rPr>
          <w:rFonts w:ascii="Times New Roman" w:hAnsi="Times New Roman" w:cs="Times New Roman"/>
          <w:i/>
          <w:iCs/>
          <w:sz w:val="24"/>
          <w:szCs w:val="24"/>
        </w:rPr>
        <w:t>AEM</w:t>
      </w:r>
      <w:r w:rsidR="0069457A">
        <w:rPr>
          <w:rFonts w:ascii="Times New Roman" w:hAnsi="Times New Roman" w:cs="Times New Roman"/>
          <w:sz w:val="24"/>
          <w:szCs w:val="24"/>
        </w:rPr>
        <w:t xml:space="preserve"> (</w:t>
      </w:r>
      <w:r w:rsidR="0069457A" w:rsidRPr="001578CB">
        <w:rPr>
          <w:rFonts w:ascii="Times New Roman" w:hAnsi="Times New Roman" w:cs="Times New Roman"/>
          <w:i/>
          <w:iCs/>
          <w:sz w:val="24"/>
          <w:szCs w:val="24"/>
        </w:rPr>
        <w:t>RAM</w:t>
      </w:r>
      <w:r w:rsidR="0069457A">
        <w:rPr>
          <w:rFonts w:ascii="Times New Roman" w:hAnsi="Times New Roman" w:cs="Times New Roman"/>
          <w:sz w:val="24"/>
          <w:szCs w:val="24"/>
        </w:rPr>
        <w:t>)</w:t>
      </w:r>
      <w:r w:rsidR="00EB0B22">
        <w:rPr>
          <w:rFonts w:ascii="Times New Roman" w:hAnsi="Times New Roman" w:cs="Times New Roman"/>
          <w:sz w:val="24"/>
          <w:szCs w:val="24"/>
        </w:rPr>
        <w:t xml:space="preserve"> will affect post-SEO performance directly. </w:t>
      </w:r>
      <w:r w:rsidR="008248A0">
        <w:rPr>
          <w:rFonts w:ascii="Times New Roman" w:hAnsi="Times New Roman" w:cs="Times New Roman"/>
          <w:sz w:val="24"/>
          <w:szCs w:val="24"/>
        </w:rPr>
        <w:t>I</w:t>
      </w:r>
      <w:r w:rsidR="00EB0B22">
        <w:rPr>
          <w:rFonts w:ascii="Times New Roman" w:hAnsi="Times New Roman" w:cs="Times New Roman"/>
          <w:sz w:val="24"/>
          <w:szCs w:val="24"/>
        </w:rPr>
        <w:t>n calculating the instrument</w:t>
      </w:r>
      <w:r w:rsidR="001B060B">
        <w:rPr>
          <w:rFonts w:ascii="Times New Roman" w:hAnsi="Times New Roman" w:cs="Times New Roman"/>
          <w:sz w:val="24"/>
          <w:szCs w:val="24"/>
        </w:rPr>
        <w:t xml:space="preserve">, we exclude the focal firm’s </w:t>
      </w:r>
      <w:r w:rsidR="001B060B" w:rsidRPr="001578CB">
        <w:rPr>
          <w:rFonts w:ascii="Times New Roman" w:hAnsi="Times New Roman" w:cs="Times New Roman"/>
          <w:i/>
          <w:iCs/>
          <w:sz w:val="24"/>
          <w:szCs w:val="24"/>
        </w:rPr>
        <w:t>AEM</w:t>
      </w:r>
      <w:r w:rsidR="001B060B">
        <w:rPr>
          <w:rFonts w:ascii="Times New Roman" w:hAnsi="Times New Roman" w:cs="Times New Roman"/>
          <w:sz w:val="24"/>
          <w:szCs w:val="24"/>
        </w:rPr>
        <w:t xml:space="preserve"> (</w:t>
      </w:r>
      <w:r w:rsidR="001B060B" w:rsidRPr="001578CB">
        <w:rPr>
          <w:rFonts w:ascii="Times New Roman" w:hAnsi="Times New Roman" w:cs="Times New Roman"/>
          <w:i/>
          <w:iCs/>
          <w:sz w:val="24"/>
          <w:szCs w:val="24"/>
        </w:rPr>
        <w:t>RAM</w:t>
      </w:r>
      <w:r w:rsidR="001B060B">
        <w:rPr>
          <w:rFonts w:ascii="Times New Roman" w:hAnsi="Times New Roman" w:cs="Times New Roman"/>
          <w:sz w:val="24"/>
          <w:szCs w:val="24"/>
        </w:rPr>
        <w:t xml:space="preserve">) to account for the average </w:t>
      </w:r>
      <w:r w:rsidR="001B060B" w:rsidRPr="001578CB">
        <w:rPr>
          <w:rFonts w:ascii="Times New Roman" w:hAnsi="Times New Roman" w:cs="Times New Roman"/>
          <w:i/>
          <w:iCs/>
          <w:sz w:val="24"/>
          <w:szCs w:val="24"/>
        </w:rPr>
        <w:t>AEM</w:t>
      </w:r>
      <w:r w:rsidR="00C95526">
        <w:rPr>
          <w:rFonts w:ascii="Times New Roman" w:hAnsi="Times New Roman" w:cs="Times New Roman"/>
          <w:sz w:val="24"/>
          <w:szCs w:val="24"/>
        </w:rPr>
        <w:t xml:space="preserve"> (</w:t>
      </w:r>
      <w:r w:rsidR="00C95526" w:rsidRPr="001578CB">
        <w:rPr>
          <w:rFonts w:ascii="Times New Roman" w:hAnsi="Times New Roman" w:cs="Times New Roman"/>
          <w:i/>
          <w:iCs/>
          <w:sz w:val="24"/>
          <w:szCs w:val="24"/>
        </w:rPr>
        <w:t>RAM</w:t>
      </w:r>
      <w:r w:rsidR="00C95526">
        <w:rPr>
          <w:rFonts w:ascii="Times New Roman" w:hAnsi="Times New Roman" w:cs="Times New Roman"/>
          <w:sz w:val="24"/>
          <w:szCs w:val="24"/>
        </w:rPr>
        <w:t>) of peers of the focal firm only.</w:t>
      </w:r>
    </w:p>
    <w:p w14:paraId="464AA8C3" w14:textId="705A0B1B" w:rsidR="005E0333" w:rsidRDefault="00BE74AA" w:rsidP="0001057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In the first stage of the regression, w</w:t>
      </w:r>
      <w:r w:rsidR="006758E9">
        <w:rPr>
          <w:rFonts w:ascii="Times New Roman" w:hAnsi="Times New Roman" w:cs="Times New Roman"/>
          <w:sz w:val="24"/>
          <w:szCs w:val="24"/>
        </w:rPr>
        <w:t>e regress</w:t>
      </w:r>
      <w:r w:rsidR="00A83EE4">
        <w:rPr>
          <w:rFonts w:ascii="Times New Roman" w:hAnsi="Times New Roman" w:cs="Times New Roman"/>
          <w:sz w:val="24"/>
          <w:szCs w:val="24"/>
        </w:rPr>
        <w:t xml:space="preserve"> </w:t>
      </w:r>
      <w:r w:rsidR="00A83EE4" w:rsidRPr="001578CB">
        <w:rPr>
          <w:rFonts w:ascii="Times New Roman" w:hAnsi="Times New Roman" w:cs="Times New Roman"/>
          <w:i/>
          <w:iCs/>
          <w:sz w:val="24"/>
          <w:szCs w:val="24"/>
        </w:rPr>
        <w:t>AEM</w:t>
      </w:r>
      <w:r w:rsidR="00A83EE4">
        <w:rPr>
          <w:rFonts w:ascii="Times New Roman" w:hAnsi="Times New Roman" w:cs="Times New Roman"/>
          <w:sz w:val="24"/>
          <w:szCs w:val="24"/>
        </w:rPr>
        <w:t xml:space="preserve"> (</w:t>
      </w:r>
      <w:r w:rsidR="00A83EE4" w:rsidRPr="001578CB">
        <w:rPr>
          <w:rFonts w:ascii="Times New Roman" w:hAnsi="Times New Roman" w:cs="Times New Roman"/>
          <w:i/>
          <w:iCs/>
          <w:sz w:val="24"/>
          <w:szCs w:val="24"/>
        </w:rPr>
        <w:t>RAM</w:t>
      </w:r>
      <w:r w:rsidR="00A83EE4">
        <w:rPr>
          <w:rFonts w:ascii="Times New Roman" w:hAnsi="Times New Roman" w:cs="Times New Roman"/>
          <w:sz w:val="24"/>
          <w:szCs w:val="24"/>
        </w:rPr>
        <w:t xml:space="preserve">) on </w:t>
      </w:r>
      <w:r w:rsidR="00A83EE4" w:rsidRPr="001578CB">
        <w:rPr>
          <w:rFonts w:ascii="Times New Roman" w:hAnsi="Times New Roman" w:cs="Times New Roman"/>
          <w:i/>
          <w:iCs/>
          <w:sz w:val="24"/>
          <w:szCs w:val="24"/>
        </w:rPr>
        <w:t>AEM_M</w:t>
      </w:r>
      <w:r w:rsidR="00A83EE4">
        <w:rPr>
          <w:rFonts w:ascii="Times New Roman" w:hAnsi="Times New Roman" w:cs="Times New Roman"/>
          <w:sz w:val="24"/>
          <w:szCs w:val="24"/>
        </w:rPr>
        <w:t xml:space="preserve"> (</w:t>
      </w:r>
      <w:r w:rsidR="00A83EE4" w:rsidRPr="001578CB">
        <w:rPr>
          <w:rFonts w:ascii="Times New Roman" w:hAnsi="Times New Roman" w:cs="Times New Roman"/>
          <w:i/>
          <w:iCs/>
          <w:sz w:val="24"/>
          <w:szCs w:val="24"/>
        </w:rPr>
        <w:t>RAM_M</w:t>
      </w:r>
      <w:r w:rsidR="00A83EE4">
        <w:rPr>
          <w:rFonts w:ascii="Times New Roman" w:hAnsi="Times New Roman" w:cs="Times New Roman"/>
          <w:sz w:val="24"/>
          <w:szCs w:val="24"/>
        </w:rPr>
        <w:t>) and the control variables</w:t>
      </w:r>
      <w:r w:rsidR="00351770">
        <w:rPr>
          <w:rFonts w:ascii="Times New Roman" w:hAnsi="Times New Roman" w:cs="Times New Roman"/>
          <w:sz w:val="24"/>
          <w:szCs w:val="24"/>
        </w:rPr>
        <w:t xml:space="preserve"> that we use in Equation (1). </w:t>
      </w:r>
      <w:r w:rsidR="00FD7B2A">
        <w:rPr>
          <w:rFonts w:ascii="Times New Roman" w:hAnsi="Times New Roman" w:cs="Times New Roman"/>
          <w:sz w:val="24"/>
          <w:szCs w:val="24"/>
        </w:rPr>
        <w:t xml:space="preserve">The </w:t>
      </w:r>
      <w:r w:rsidR="009021F1">
        <w:rPr>
          <w:rFonts w:ascii="Times New Roman" w:hAnsi="Times New Roman" w:cs="Times New Roman"/>
          <w:sz w:val="24"/>
          <w:szCs w:val="24"/>
        </w:rPr>
        <w:t>results</w:t>
      </w:r>
      <w:r w:rsidR="00FD7B2A">
        <w:rPr>
          <w:rFonts w:ascii="Times New Roman" w:hAnsi="Times New Roman" w:cs="Times New Roman"/>
          <w:sz w:val="24"/>
          <w:szCs w:val="24"/>
        </w:rPr>
        <w:t xml:space="preserve"> </w:t>
      </w:r>
      <w:r w:rsidR="009021F1">
        <w:rPr>
          <w:rFonts w:ascii="Times New Roman" w:hAnsi="Times New Roman" w:cs="Times New Roman"/>
          <w:sz w:val="24"/>
          <w:szCs w:val="24"/>
        </w:rPr>
        <w:t>are</w:t>
      </w:r>
      <w:r w:rsidR="00FD7B2A">
        <w:rPr>
          <w:rFonts w:ascii="Times New Roman" w:hAnsi="Times New Roman" w:cs="Times New Roman"/>
          <w:sz w:val="24"/>
          <w:szCs w:val="24"/>
        </w:rPr>
        <w:t xml:space="preserve"> reported in Column</w:t>
      </w:r>
      <w:r w:rsidR="00E26ACE">
        <w:rPr>
          <w:rFonts w:ascii="Times New Roman" w:hAnsi="Times New Roman" w:cs="Times New Roman"/>
          <w:sz w:val="24"/>
          <w:szCs w:val="24"/>
        </w:rPr>
        <w:t>s</w:t>
      </w:r>
      <w:r w:rsidR="00FD7B2A">
        <w:rPr>
          <w:rFonts w:ascii="Times New Roman" w:hAnsi="Times New Roman" w:cs="Times New Roman"/>
          <w:sz w:val="24"/>
          <w:szCs w:val="24"/>
        </w:rPr>
        <w:t xml:space="preserve"> (1)</w:t>
      </w:r>
      <w:r w:rsidR="00E26ACE">
        <w:rPr>
          <w:rFonts w:ascii="Times New Roman" w:hAnsi="Times New Roman" w:cs="Times New Roman"/>
          <w:sz w:val="24"/>
          <w:szCs w:val="24"/>
        </w:rPr>
        <w:t xml:space="preserve"> and (3)</w:t>
      </w:r>
      <w:r w:rsidR="00FD7B2A">
        <w:rPr>
          <w:rFonts w:ascii="Times New Roman" w:hAnsi="Times New Roman" w:cs="Times New Roman"/>
          <w:sz w:val="24"/>
          <w:szCs w:val="24"/>
        </w:rPr>
        <w:t xml:space="preserve"> </w:t>
      </w:r>
      <w:r w:rsidR="00E26ACE">
        <w:rPr>
          <w:rFonts w:ascii="Times New Roman" w:hAnsi="Times New Roman" w:cs="Times New Roman"/>
          <w:sz w:val="24"/>
          <w:szCs w:val="24"/>
        </w:rPr>
        <w:t xml:space="preserve">and </w:t>
      </w:r>
      <w:r w:rsidR="00301415">
        <w:rPr>
          <w:rFonts w:ascii="Times New Roman" w:hAnsi="Times New Roman" w:cs="Times New Roman"/>
          <w:sz w:val="24"/>
          <w:szCs w:val="24"/>
        </w:rPr>
        <w:t xml:space="preserve">these </w:t>
      </w:r>
      <w:r w:rsidR="00E26ACE">
        <w:rPr>
          <w:rFonts w:ascii="Times New Roman" w:hAnsi="Times New Roman" w:cs="Times New Roman"/>
          <w:sz w:val="24"/>
          <w:szCs w:val="24"/>
        </w:rPr>
        <w:t xml:space="preserve">reveal that </w:t>
      </w:r>
      <w:r w:rsidR="00E26ACE" w:rsidRPr="001578CB">
        <w:rPr>
          <w:rFonts w:ascii="Times New Roman" w:hAnsi="Times New Roman" w:cs="Times New Roman"/>
          <w:i/>
          <w:iCs/>
          <w:sz w:val="24"/>
          <w:szCs w:val="24"/>
        </w:rPr>
        <w:t>AEM_M</w:t>
      </w:r>
      <w:r w:rsidR="00E26ACE">
        <w:rPr>
          <w:rFonts w:ascii="Times New Roman" w:hAnsi="Times New Roman" w:cs="Times New Roman"/>
          <w:sz w:val="24"/>
          <w:szCs w:val="24"/>
        </w:rPr>
        <w:t xml:space="preserve"> (</w:t>
      </w:r>
      <w:r w:rsidR="00E26ACE" w:rsidRPr="001578CB">
        <w:rPr>
          <w:rFonts w:ascii="Times New Roman" w:hAnsi="Times New Roman" w:cs="Times New Roman"/>
          <w:i/>
          <w:iCs/>
          <w:sz w:val="24"/>
          <w:szCs w:val="24"/>
        </w:rPr>
        <w:t>RAM_M</w:t>
      </w:r>
      <w:r w:rsidR="00E26ACE">
        <w:rPr>
          <w:rFonts w:ascii="Times New Roman" w:hAnsi="Times New Roman" w:cs="Times New Roman"/>
          <w:sz w:val="24"/>
          <w:szCs w:val="24"/>
        </w:rPr>
        <w:t xml:space="preserve">) </w:t>
      </w:r>
      <w:r w:rsidR="001F5023">
        <w:rPr>
          <w:rFonts w:ascii="Times New Roman" w:hAnsi="Times New Roman" w:cs="Times New Roman"/>
          <w:sz w:val="24"/>
          <w:szCs w:val="24"/>
        </w:rPr>
        <w:t>is a</w:t>
      </w:r>
      <w:r w:rsidR="00A079D8">
        <w:rPr>
          <w:rFonts w:ascii="Times New Roman" w:hAnsi="Times New Roman" w:cs="Times New Roman"/>
          <w:sz w:val="24"/>
          <w:szCs w:val="24"/>
        </w:rPr>
        <w:t xml:space="preserve"> </w:t>
      </w:r>
      <w:r w:rsidR="00872062">
        <w:rPr>
          <w:rFonts w:ascii="Times New Roman" w:hAnsi="Times New Roman" w:cs="Times New Roman"/>
          <w:sz w:val="24"/>
          <w:szCs w:val="24"/>
        </w:rPr>
        <w:t>good predictor</w:t>
      </w:r>
      <w:r w:rsidR="00A079D8">
        <w:rPr>
          <w:rFonts w:ascii="Times New Roman" w:hAnsi="Times New Roman" w:cs="Times New Roman"/>
          <w:sz w:val="24"/>
          <w:szCs w:val="24"/>
        </w:rPr>
        <w:t xml:space="preserve"> of </w:t>
      </w:r>
      <w:r w:rsidR="00A079D8" w:rsidRPr="001578CB">
        <w:rPr>
          <w:rFonts w:ascii="Times New Roman" w:hAnsi="Times New Roman" w:cs="Times New Roman"/>
          <w:i/>
          <w:iCs/>
          <w:sz w:val="24"/>
          <w:szCs w:val="24"/>
        </w:rPr>
        <w:t>AEM</w:t>
      </w:r>
      <w:r w:rsidR="00A079D8">
        <w:rPr>
          <w:rFonts w:ascii="Times New Roman" w:hAnsi="Times New Roman" w:cs="Times New Roman"/>
          <w:sz w:val="24"/>
          <w:szCs w:val="24"/>
        </w:rPr>
        <w:t xml:space="preserve"> (</w:t>
      </w:r>
      <w:r w:rsidR="00A079D8" w:rsidRPr="001578CB">
        <w:rPr>
          <w:rFonts w:ascii="Times New Roman" w:hAnsi="Times New Roman" w:cs="Times New Roman"/>
          <w:i/>
          <w:iCs/>
          <w:sz w:val="24"/>
          <w:szCs w:val="24"/>
        </w:rPr>
        <w:t>RAM</w:t>
      </w:r>
      <w:r w:rsidR="00A079D8">
        <w:rPr>
          <w:rFonts w:ascii="Times New Roman" w:hAnsi="Times New Roman" w:cs="Times New Roman"/>
          <w:sz w:val="24"/>
          <w:szCs w:val="24"/>
        </w:rPr>
        <w:t>)</w:t>
      </w:r>
      <w:r w:rsidR="00312B94">
        <w:rPr>
          <w:rFonts w:ascii="Times New Roman" w:hAnsi="Times New Roman" w:cs="Times New Roman"/>
          <w:sz w:val="24"/>
          <w:szCs w:val="24"/>
        </w:rPr>
        <w:t>. In Column</w:t>
      </w:r>
      <w:r w:rsidR="00F1257D">
        <w:rPr>
          <w:rFonts w:ascii="Times New Roman" w:hAnsi="Times New Roman" w:cs="Times New Roman"/>
          <w:sz w:val="24"/>
          <w:szCs w:val="24"/>
        </w:rPr>
        <w:t>s</w:t>
      </w:r>
      <w:r w:rsidR="00312B94">
        <w:rPr>
          <w:rFonts w:ascii="Times New Roman" w:hAnsi="Times New Roman" w:cs="Times New Roman"/>
          <w:sz w:val="24"/>
          <w:szCs w:val="24"/>
        </w:rPr>
        <w:t xml:space="preserve"> </w:t>
      </w:r>
      <w:r w:rsidR="002C0B4B">
        <w:rPr>
          <w:rFonts w:ascii="Times New Roman" w:hAnsi="Times New Roman" w:cs="Times New Roman"/>
          <w:sz w:val="24"/>
          <w:szCs w:val="24"/>
        </w:rPr>
        <w:t>(1)</w:t>
      </w:r>
      <w:r w:rsidR="00F1257D">
        <w:rPr>
          <w:rFonts w:ascii="Times New Roman" w:hAnsi="Times New Roman" w:cs="Times New Roman"/>
          <w:sz w:val="24"/>
          <w:szCs w:val="24"/>
        </w:rPr>
        <w:t xml:space="preserve"> and (3)</w:t>
      </w:r>
      <w:r w:rsidR="002C0B4B">
        <w:rPr>
          <w:rFonts w:ascii="Times New Roman" w:hAnsi="Times New Roman" w:cs="Times New Roman"/>
          <w:sz w:val="24"/>
          <w:szCs w:val="24"/>
        </w:rPr>
        <w:t xml:space="preserve"> the coefficient on </w:t>
      </w:r>
      <w:r w:rsidR="00DA278C" w:rsidRPr="001578CB">
        <w:rPr>
          <w:rFonts w:ascii="Times New Roman" w:hAnsi="Times New Roman" w:cs="Times New Roman"/>
          <w:i/>
          <w:iCs/>
          <w:sz w:val="24"/>
          <w:szCs w:val="24"/>
        </w:rPr>
        <w:t>AEM_M</w:t>
      </w:r>
      <w:r w:rsidR="005F5165">
        <w:rPr>
          <w:rFonts w:ascii="Times New Roman" w:hAnsi="Times New Roman" w:cs="Times New Roman"/>
          <w:sz w:val="24"/>
          <w:szCs w:val="24"/>
        </w:rPr>
        <w:t xml:space="preserve"> (</w:t>
      </w:r>
      <w:r w:rsidR="005F5165" w:rsidRPr="00435D3D">
        <w:rPr>
          <w:rFonts w:ascii="Times New Roman" w:hAnsi="Times New Roman" w:cs="Times New Roman"/>
          <w:sz w:val="24"/>
          <w:szCs w:val="24"/>
        </w:rPr>
        <w:t>coefficient 0.</w:t>
      </w:r>
      <w:r w:rsidR="005F5165">
        <w:rPr>
          <w:rFonts w:ascii="Times New Roman" w:hAnsi="Times New Roman" w:cs="Times New Roman"/>
          <w:sz w:val="24"/>
          <w:szCs w:val="24"/>
        </w:rPr>
        <w:t>9386</w:t>
      </w:r>
      <w:r w:rsidR="005F5165" w:rsidRPr="00435D3D">
        <w:rPr>
          <w:rFonts w:ascii="Times New Roman" w:hAnsi="Times New Roman" w:cs="Times New Roman"/>
          <w:sz w:val="24"/>
          <w:szCs w:val="24"/>
        </w:rPr>
        <w:t xml:space="preserve">, </w:t>
      </w:r>
      <w:r w:rsidR="005F5165" w:rsidRPr="00435D3D">
        <w:rPr>
          <w:rFonts w:ascii="Times New Roman" w:hAnsi="Times New Roman" w:cs="Times New Roman"/>
          <w:i/>
          <w:iCs/>
          <w:sz w:val="24"/>
          <w:szCs w:val="24"/>
        </w:rPr>
        <w:t>t</w:t>
      </w:r>
      <w:r w:rsidR="005F5165" w:rsidRPr="00435D3D">
        <w:rPr>
          <w:rFonts w:ascii="Times New Roman" w:hAnsi="Times New Roman" w:cs="Times New Roman"/>
          <w:sz w:val="24"/>
          <w:szCs w:val="24"/>
        </w:rPr>
        <w:t xml:space="preserve">-statistic = </w:t>
      </w:r>
      <w:r w:rsidR="005F5165">
        <w:rPr>
          <w:rFonts w:ascii="Times New Roman" w:hAnsi="Times New Roman" w:cs="Times New Roman"/>
          <w:sz w:val="24"/>
          <w:szCs w:val="24"/>
        </w:rPr>
        <w:t>13.5367)</w:t>
      </w:r>
      <w:r w:rsidR="00F1257D">
        <w:rPr>
          <w:rFonts w:ascii="Times New Roman" w:hAnsi="Times New Roman" w:cs="Times New Roman"/>
          <w:sz w:val="24"/>
          <w:szCs w:val="24"/>
        </w:rPr>
        <w:t xml:space="preserve"> and </w:t>
      </w:r>
      <w:r w:rsidR="00301415">
        <w:rPr>
          <w:rFonts w:ascii="Times New Roman" w:hAnsi="Times New Roman" w:cs="Times New Roman"/>
          <w:sz w:val="24"/>
          <w:szCs w:val="24"/>
        </w:rPr>
        <w:t xml:space="preserve">on </w:t>
      </w:r>
      <w:r w:rsidR="004548D1" w:rsidRPr="001578CB">
        <w:rPr>
          <w:rFonts w:ascii="Times New Roman" w:hAnsi="Times New Roman" w:cs="Times New Roman"/>
          <w:i/>
          <w:iCs/>
          <w:sz w:val="24"/>
          <w:szCs w:val="24"/>
        </w:rPr>
        <w:t>RAM_M</w:t>
      </w:r>
      <w:r w:rsidR="004548D1">
        <w:rPr>
          <w:rFonts w:ascii="Times New Roman" w:hAnsi="Times New Roman" w:cs="Times New Roman"/>
          <w:sz w:val="24"/>
          <w:szCs w:val="24"/>
        </w:rPr>
        <w:t xml:space="preserve"> (</w:t>
      </w:r>
      <w:r w:rsidR="004548D1" w:rsidRPr="00435D3D">
        <w:rPr>
          <w:rFonts w:ascii="Times New Roman" w:hAnsi="Times New Roman" w:cs="Times New Roman"/>
          <w:sz w:val="24"/>
          <w:szCs w:val="24"/>
        </w:rPr>
        <w:t>coefficient 0.</w:t>
      </w:r>
      <w:r w:rsidR="004548D1">
        <w:rPr>
          <w:rFonts w:ascii="Times New Roman" w:hAnsi="Times New Roman" w:cs="Times New Roman"/>
          <w:sz w:val="24"/>
          <w:szCs w:val="24"/>
        </w:rPr>
        <w:t>9325</w:t>
      </w:r>
      <w:r w:rsidR="004548D1" w:rsidRPr="00435D3D">
        <w:rPr>
          <w:rFonts w:ascii="Times New Roman" w:hAnsi="Times New Roman" w:cs="Times New Roman"/>
          <w:sz w:val="24"/>
          <w:szCs w:val="24"/>
        </w:rPr>
        <w:t xml:space="preserve">, </w:t>
      </w:r>
      <w:r w:rsidR="004548D1" w:rsidRPr="00435D3D">
        <w:rPr>
          <w:rFonts w:ascii="Times New Roman" w:hAnsi="Times New Roman" w:cs="Times New Roman"/>
          <w:i/>
          <w:iCs/>
          <w:sz w:val="24"/>
          <w:szCs w:val="24"/>
        </w:rPr>
        <w:t>t</w:t>
      </w:r>
      <w:r w:rsidR="004548D1" w:rsidRPr="00435D3D">
        <w:rPr>
          <w:rFonts w:ascii="Times New Roman" w:hAnsi="Times New Roman" w:cs="Times New Roman"/>
          <w:sz w:val="24"/>
          <w:szCs w:val="24"/>
        </w:rPr>
        <w:t xml:space="preserve">-statistic = </w:t>
      </w:r>
      <w:r w:rsidR="004548D1" w:rsidRPr="00A96144">
        <w:rPr>
          <w:rFonts w:ascii="Times New Roman" w:hAnsi="Times New Roman" w:cs="Times New Roman"/>
          <w:sz w:val="24"/>
          <w:szCs w:val="24"/>
        </w:rPr>
        <w:t>1</w:t>
      </w:r>
      <w:r w:rsidR="004548D1">
        <w:rPr>
          <w:rFonts w:ascii="Times New Roman" w:hAnsi="Times New Roman" w:cs="Times New Roman"/>
          <w:sz w:val="24"/>
          <w:szCs w:val="24"/>
        </w:rPr>
        <w:t>2</w:t>
      </w:r>
      <w:r w:rsidR="004548D1" w:rsidRPr="00A96144">
        <w:rPr>
          <w:rFonts w:ascii="Times New Roman" w:hAnsi="Times New Roman" w:cs="Times New Roman"/>
          <w:sz w:val="24"/>
          <w:szCs w:val="24"/>
        </w:rPr>
        <w:t>.7</w:t>
      </w:r>
      <w:r w:rsidR="004548D1">
        <w:rPr>
          <w:rFonts w:ascii="Times New Roman" w:hAnsi="Times New Roman" w:cs="Times New Roman"/>
          <w:sz w:val="24"/>
          <w:szCs w:val="24"/>
        </w:rPr>
        <w:t>89</w:t>
      </w:r>
      <w:r w:rsidR="004548D1" w:rsidRPr="00A96144">
        <w:rPr>
          <w:rFonts w:ascii="Times New Roman" w:hAnsi="Times New Roman" w:cs="Times New Roman"/>
          <w:sz w:val="24"/>
          <w:szCs w:val="24"/>
        </w:rPr>
        <w:t>7</w:t>
      </w:r>
      <w:r w:rsidR="004548D1" w:rsidRPr="00435D3D">
        <w:rPr>
          <w:rFonts w:ascii="Times New Roman" w:hAnsi="Times New Roman" w:cs="Times New Roman"/>
          <w:sz w:val="24"/>
          <w:szCs w:val="24"/>
        </w:rPr>
        <w:t>)</w:t>
      </w:r>
      <w:r w:rsidR="005F5165">
        <w:rPr>
          <w:rFonts w:ascii="Times New Roman" w:hAnsi="Times New Roman" w:cs="Times New Roman"/>
          <w:sz w:val="24"/>
          <w:szCs w:val="24"/>
        </w:rPr>
        <w:t xml:space="preserve"> </w:t>
      </w:r>
      <w:r w:rsidR="004548D1">
        <w:rPr>
          <w:rFonts w:ascii="Times New Roman" w:hAnsi="Times New Roman" w:cs="Times New Roman"/>
          <w:sz w:val="24"/>
          <w:szCs w:val="24"/>
        </w:rPr>
        <w:t>are both</w:t>
      </w:r>
      <w:r w:rsidR="005F5165">
        <w:rPr>
          <w:rFonts w:ascii="Times New Roman" w:hAnsi="Times New Roman" w:cs="Times New Roman"/>
          <w:sz w:val="24"/>
          <w:szCs w:val="24"/>
        </w:rPr>
        <w:t xml:space="preserve"> positive and significant at the 1% level</w:t>
      </w:r>
      <w:r w:rsidR="006E5662">
        <w:rPr>
          <w:rFonts w:ascii="Times New Roman" w:hAnsi="Times New Roman" w:cs="Times New Roman"/>
          <w:sz w:val="24"/>
          <w:szCs w:val="24"/>
        </w:rPr>
        <w:t xml:space="preserve">, indicating that </w:t>
      </w:r>
      <w:r w:rsidR="00DC7670">
        <w:rPr>
          <w:rFonts w:ascii="Times New Roman" w:hAnsi="Times New Roman" w:cs="Times New Roman"/>
          <w:sz w:val="24"/>
          <w:szCs w:val="24"/>
        </w:rPr>
        <w:t>earnings management is determined by country</w:t>
      </w:r>
      <w:r w:rsidR="005B1499">
        <w:rPr>
          <w:rFonts w:ascii="Times New Roman" w:hAnsi="Times New Roman" w:cs="Times New Roman"/>
          <w:sz w:val="24"/>
          <w:szCs w:val="24"/>
        </w:rPr>
        <w:t>-</w:t>
      </w:r>
      <w:r w:rsidR="00DC7670">
        <w:rPr>
          <w:rFonts w:ascii="Times New Roman" w:hAnsi="Times New Roman" w:cs="Times New Roman"/>
          <w:sz w:val="24"/>
          <w:szCs w:val="24"/>
        </w:rPr>
        <w:t>level characteristics.</w:t>
      </w:r>
      <w:r w:rsidR="00167B49">
        <w:rPr>
          <w:rFonts w:ascii="Times New Roman" w:hAnsi="Times New Roman" w:cs="Times New Roman"/>
          <w:sz w:val="24"/>
          <w:szCs w:val="24"/>
        </w:rPr>
        <w:t xml:space="preserve"> </w:t>
      </w:r>
      <w:r>
        <w:rPr>
          <w:rFonts w:ascii="Times New Roman" w:hAnsi="Times New Roman" w:cs="Times New Roman"/>
          <w:sz w:val="24"/>
          <w:szCs w:val="24"/>
        </w:rPr>
        <w:t>In the s</w:t>
      </w:r>
      <w:r w:rsidR="00C174ED">
        <w:rPr>
          <w:rFonts w:ascii="Times New Roman" w:hAnsi="Times New Roman" w:cs="Times New Roman"/>
          <w:sz w:val="24"/>
          <w:szCs w:val="24"/>
        </w:rPr>
        <w:t>econd</w:t>
      </w:r>
      <w:r w:rsidR="00C174ED" w:rsidRPr="00C174ED">
        <w:rPr>
          <w:rFonts w:ascii="Times New Roman" w:hAnsi="Times New Roman" w:cs="Times New Roman"/>
          <w:sz w:val="24"/>
          <w:szCs w:val="24"/>
        </w:rPr>
        <w:t xml:space="preserve"> </w:t>
      </w:r>
      <w:r w:rsidR="00C174ED">
        <w:rPr>
          <w:rFonts w:ascii="Times New Roman" w:hAnsi="Times New Roman" w:cs="Times New Roman"/>
          <w:sz w:val="24"/>
          <w:szCs w:val="24"/>
        </w:rPr>
        <w:t>stage of the regression, we replace</w:t>
      </w:r>
      <w:r w:rsidR="00D90201">
        <w:rPr>
          <w:rFonts w:ascii="Times New Roman" w:hAnsi="Times New Roman" w:cs="Times New Roman"/>
          <w:sz w:val="24"/>
          <w:szCs w:val="24"/>
        </w:rPr>
        <w:t xml:space="preserve"> </w:t>
      </w:r>
      <w:r w:rsidR="005B1499">
        <w:rPr>
          <w:rFonts w:ascii="Times New Roman" w:hAnsi="Times New Roman" w:cs="Times New Roman"/>
          <w:sz w:val="24"/>
          <w:szCs w:val="24"/>
        </w:rPr>
        <w:t>t</w:t>
      </w:r>
      <w:r w:rsidR="00D90201">
        <w:rPr>
          <w:rFonts w:ascii="Times New Roman" w:hAnsi="Times New Roman" w:cs="Times New Roman"/>
          <w:sz w:val="24"/>
          <w:szCs w:val="24"/>
        </w:rPr>
        <w:t xml:space="preserve">he original </w:t>
      </w:r>
      <w:r w:rsidR="00D90201" w:rsidRPr="001578CB">
        <w:rPr>
          <w:rFonts w:ascii="Times New Roman" w:hAnsi="Times New Roman" w:cs="Times New Roman"/>
          <w:i/>
          <w:iCs/>
          <w:sz w:val="24"/>
          <w:szCs w:val="24"/>
        </w:rPr>
        <w:t>AEM</w:t>
      </w:r>
      <w:r w:rsidR="00D90201">
        <w:rPr>
          <w:rFonts w:ascii="Times New Roman" w:hAnsi="Times New Roman" w:cs="Times New Roman"/>
          <w:sz w:val="24"/>
          <w:szCs w:val="24"/>
        </w:rPr>
        <w:t xml:space="preserve"> (</w:t>
      </w:r>
      <w:r w:rsidR="00D90201" w:rsidRPr="001578CB">
        <w:rPr>
          <w:rFonts w:ascii="Times New Roman" w:hAnsi="Times New Roman" w:cs="Times New Roman"/>
          <w:i/>
          <w:iCs/>
          <w:sz w:val="24"/>
          <w:szCs w:val="24"/>
        </w:rPr>
        <w:t>RAM</w:t>
      </w:r>
      <w:r w:rsidR="00D90201">
        <w:rPr>
          <w:rFonts w:ascii="Times New Roman" w:hAnsi="Times New Roman" w:cs="Times New Roman"/>
          <w:sz w:val="24"/>
          <w:szCs w:val="24"/>
        </w:rPr>
        <w:t xml:space="preserve">) with the predicted </w:t>
      </w:r>
      <w:r w:rsidR="00F24CCD" w:rsidRPr="001578CB">
        <w:rPr>
          <w:rFonts w:ascii="Times New Roman" w:hAnsi="Times New Roman" w:cs="Times New Roman"/>
          <w:i/>
          <w:iCs/>
          <w:sz w:val="24"/>
          <w:szCs w:val="24"/>
        </w:rPr>
        <w:t>AEM</w:t>
      </w:r>
      <w:r w:rsidR="00F24CCD">
        <w:rPr>
          <w:rFonts w:ascii="Times New Roman" w:hAnsi="Times New Roman" w:cs="Times New Roman"/>
          <w:sz w:val="24"/>
          <w:szCs w:val="24"/>
        </w:rPr>
        <w:t xml:space="preserve"> (</w:t>
      </w:r>
      <w:r w:rsidR="00F24CCD" w:rsidRPr="001578CB">
        <w:rPr>
          <w:rFonts w:ascii="Times New Roman" w:hAnsi="Times New Roman" w:cs="Times New Roman"/>
          <w:i/>
          <w:iCs/>
          <w:sz w:val="24"/>
          <w:szCs w:val="24"/>
        </w:rPr>
        <w:t>RAM</w:t>
      </w:r>
      <w:r w:rsidR="00F24CCD">
        <w:rPr>
          <w:rFonts w:ascii="Times New Roman" w:hAnsi="Times New Roman" w:cs="Times New Roman"/>
          <w:sz w:val="24"/>
          <w:szCs w:val="24"/>
        </w:rPr>
        <w:t xml:space="preserve">) generated from the first stage. </w:t>
      </w:r>
      <w:r w:rsidR="009021F1">
        <w:rPr>
          <w:rFonts w:ascii="Times New Roman" w:hAnsi="Times New Roman" w:cs="Times New Roman"/>
          <w:sz w:val="24"/>
          <w:szCs w:val="24"/>
        </w:rPr>
        <w:t>The results reported in Columns (2) and (4)</w:t>
      </w:r>
      <w:r w:rsidR="00500251">
        <w:rPr>
          <w:rFonts w:ascii="Times New Roman" w:hAnsi="Times New Roman" w:cs="Times New Roman"/>
          <w:sz w:val="24"/>
          <w:szCs w:val="24"/>
        </w:rPr>
        <w:t xml:space="preserve"> show that</w:t>
      </w:r>
      <w:r w:rsidR="001E4497">
        <w:rPr>
          <w:rFonts w:ascii="Times New Roman" w:hAnsi="Times New Roman" w:cs="Times New Roman"/>
          <w:sz w:val="24"/>
          <w:szCs w:val="24"/>
        </w:rPr>
        <w:t xml:space="preserve"> the coefficient on </w:t>
      </w:r>
      <w:r w:rsidR="001E4497" w:rsidRPr="001578CB">
        <w:rPr>
          <w:rFonts w:ascii="Times New Roman" w:hAnsi="Times New Roman" w:cs="Times New Roman"/>
          <w:i/>
          <w:iCs/>
          <w:sz w:val="24"/>
          <w:szCs w:val="24"/>
        </w:rPr>
        <w:t>AEM</w:t>
      </w:r>
      <w:r w:rsidR="001E4497">
        <w:rPr>
          <w:rFonts w:ascii="Times New Roman" w:hAnsi="Times New Roman" w:cs="Times New Roman"/>
          <w:sz w:val="24"/>
          <w:szCs w:val="24"/>
        </w:rPr>
        <w:t xml:space="preserve"> (</w:t>
      </w:r>
      <w:r w:rsidR="001E4497" w:rsidRPr="00435D3D">
        <w:rPr>
          <w:rFonts w:ascii="Times New Roman" w:hAnsi="Times New Roman" w:cs="Times New Roman"/>
          <w:sz w:val="24"/>
          <w:szCs w:val="24"/>
        </w:rPr>
        <w:t xml:space="preserve">coefficient </w:t>
      </w:r>
      <w:r w:rsidR="00362615">
        <w:rPr>
          <w:rFonts w:ascii="Times New Roman" w:hAnsi="Times New Roman" w:cs="Times New Roman"/>
          <w:sz w:val="24"/>
          <w:szCs w:val="24"/>
        </w:rPr>
        <w:t>-</w:t>
      </w:r>
      <w:r w:rsidR="001E4497" w:rsidRPr="00435D3D">
        <w:rPr>
          <w:rFonts w:ascii="Times New Roman" w:hAnsi="Times New Roman" w:cs="Times New Roman"/>
          <w:sz w:val="24"/>
          <w:szCs w:val="24"/>
        </w:rPr>
        <w:t>0.</w:t>
      </w:r>
      <w:r w:rsidR="00362615">
        <w:rPr>
          <w:rFonts w:ascii="Times New Roman" w:hAnsi="Times New Roman" w:cs="Times New Roman"/>
          <w:sz w:val="24"/>
          <w:szCs w:val="24"/>
        </w:rPr>
        <w:t>0455</w:t>
      </w:r>
      <w:r w:rsidR="001E4497" w:rsidRPr="00435D3D">
        <w:rPr>
          <w:rFonts w:ascii="Times New Roman" w:hAnsi="Times New Roman" w:cs="Times New Roman"/>
          <w:sz w:val="24"/>
          <w:szCs w:val="24"/>
        </w:rPr>
        <w:t xml:space="preserve">, </w:t>
      </w:r>
      <w:r w:rsidR="001E4497" w:rsidRPr="00435D3D">
        <w:rPr>
          <w:rFonts w:ascii="Times New Roman" w:hAnsi="Times New Roman" w:cs="Times New Roman"/>
          <w:i/>
          <w:iCs/>
          <w:sz w:val="24"/>
          <w:szCs w:val="24"/>
        </w:rPr>
        <w:t>t</w:t>
      </w:r>
      <w:r w:rsidR="001E4497" w:rsidRPr="00435D3D">
        <w:rPr>
          <w:rFonts w:ascii="Times New Roman" w:hAnsi="Times New Roman" w:cs="Times New Roman"/>
          <w:sz w:val="24"/>
          <w:szCs w:val="24"/>
        </w:rPr>
        <w:t xml:space="preserve">-statistic = </w:t>
      </w:r>
      <w:r w:rsidR="00362615">
        <w:rPr>
          <w:rFonts w:ascii="Times New Roman" w:hAnsi="Times New Roman" w:cs="Times New Roman"/>
          <w:sz w:val="24"/>
          <w:szCs w:val="24"/>
        </w:rPr>
        <w:t>-</w:t>
      </w:r>
      <w:r w:rsidR="001E4497">
        <w:rPr>
          <w:rFonts w:ascii="Times New Roman" w:hAnsi="Times New Roman" w:cs="Times New Roman"/>
          <w:sz w:val="24"/>
          <w:szCs w:val="24"/>
        </w:rPr>
        <w:t>1.</w:t>
      </w:r>
      <w:r w:rsidR="00362615">
        <w:rPr>
          <w:rFonts w:ascii="Times New Roman" w:hAnsi="Times New Roman" w:cs="Times New Roman"/>
          <w:sz w:val="24"/>
          <w:szCs w:val="24"/>
        </w:rPr>
        <w:t>7123</w:t>
      </w:r>
      <w:r w:rsidR="001E4497">
        <w:rPr>
          <w:rFonts w:ascii="Times New Roman" w:hAnsi="Times New Roman" w:cs="Times New Roman"/>
          <w:sz w:val="24"/>
          <w:szCs w:val="24"/>
        </w:rPr>
        <w:t xml:space="preserve">) and </w:t>
      </w:r>
      <w:r w:rsidR="002E4EA5">
        <w:rPr>
          <w:rFonts w:ascii="Times New Roman" w:hAnsi="Times New Roman" w:cs="Times New Roman"/>
          <w:sz w:val="24"/>
          <w:szCs w:val="24"/>
        </w:rPr>
        <w:t xml:space="preserve">on </w:t>
      </w:r>
      <w:r w:rsidR="001E4497" w:rsidRPr="001578CB">
        <w:rPr>
          <w:rFonts w:ascii="Times New Roman" w:hAnsi="Times New Roman" w:cs="Times New Roman"/>
          <w:i/>
          <w:iCs/>
          <w:sz w:val="24"/>
          <w:szCs w:val="24"/>
        </w:rPr>
        <w:t>RAM</w:t>
      </w:r>
      <w:r w:rsidR="001E4497">
        <w:rPr>
          <w:rFonts w:ascii="Times New Roman" w:hAnsi="Times New Roman" w:cs="Times New Roman"/>
          <w:sz w:val="24"/>
          <w:szCs w:val="24"/>
        </w:rPr>
        <w:t xml:space="preserve"> (</w:t>
      </w:r>
      <w:r w:rsidR="001E4497" w:rsidRPr="00435D3D">
        <w:rPr>
          <w:rFonts w:ascii="Times New Roman" w:hAnsi="Times New Roman" w:cs="Times New Roman"/>
          <w:sz w:val="24"/>
          <w:szCs w:val="24"/>
        </w:rPr>
        <w:t xml:space="preserve">coefficient </w:t>
      </w:r>
      <w:r w:rsidR="00F67AA0">
        <w:rPr>
          <w:rFonts w:ascii="Times New Roman" w:hAnsi="Times New Roman" w:cs="Times New Roman"/>
          <w:sz w:val="24"/>
          <w:szCs w:val="24"/>
        </w:rPr>
        <w:t>-</w:t>
      </w:r>
      <w:r w:rsidR="001E4497" w:rsidRPr="00435D3D">
        <w:rPr>
          <w:rFonts w:ascii="Times New Roman" w:hAnsi="Times New Roman" w:cs="Times New Roman"/>
          <w:sz w:val="24"/>
          <w:szCs w:val="24"/>
        </w:rPr>
        <w:t>0</w:t>
      </w:r>
      <w:r w:rsidR="00F67AA0">
        <w:rPr>
          <w:rFonts w:ascii="Times New Roman" w:hAnsi="Times New Roman" w:cs="Times New Roman"/>
          <w:sz w:val="24"/>
          <w:szCs w:val="24"/>
        </w:rPr>
        <w:t>.1684</w:t>
      </w:r>
      <w:r w:rsidR="001E4497" w:rsidRPr="00435D3D">
        <w:rPr>
          <w:rFonts w:ascii="Times New Roman" w:hAnsi="Times New Roman" w:cs="Times New Roman"/>
          <w:sz w:val="24"/>
          <w:szCs w:val="24"/>
        </w:rPr>
        <w:t xml:space="preserve">, </w:t>
      </w:r>
      <w:r w:rsidR="001E4497" w:rsidRPr="00435D3D">
        <w:rPr>
          <w:rFonts w:ascii="Times New Roman" w:hAnsi="Times New Roman" w:cs="Times New Roman"/>
          <w:i/>
          <w:iCs/>
          <w:sz w:val="24"/>
          <w:szCs w:val="24"/>
        </w:rPr>
        <w:t>t</w:t>
      </w:r>
      <w:r w:rsidR="001E4497" w:rsidRPr="00435D3D">
        <w:rPr>
          <w:rFonts w:ascii="Times New Roman" w:hAnsi="Times New Roman" w:cs="Times New Roman"/>
          <w:sz w:val="24"/>
          <w:szCs w:val="24"/>
        </w:rPr>
        <w:t xml:space="preserve">-statistic = </w:t>
      </w:r>
      <w:r w:rsidR="00F67AA0">
        <w:rPr>
          <w:rFonts w:ascii="Times New Roman" w:hAnsi="Times New Roman" w:cs="Times New Roman"/>
          <w:sz w:val="24"/>
          <w:szCs w:val="24"/>
        </w:rPr>
        <w:t>-7</w:t>
      </w:r>
      <w:r w:rsidR="001E4497" w:rsidRPr="00A96144">
        <w:rPr>
          <w:rFonts w:ascii="Times New Roman" w:hAnsi="Times New Roman" w:cs="Times New Roman"/>
          <w:sz w:val="24"/>
          <w:szCs w:val="24"/>
        </w:rPr>
        <w:t>.</w:t>
      </w:r>
      <w:r w:rsidR="007A65D2">
        <w:rPr>
          <w:rFonts w:ascii="Times New Roman" w:hAnsi="Times New Roman" w:cs="Times New Roman"/>
          <w:sz w:val="24"/>
          <w:szCs w:val="24"/>
        </w:rPr>
        <w:t>1383</w:t>
      </w:r>
      <w:r w:rsidR="001E4497" w:rsidRPr="00435D3D">
        <w:rPr>
          <w:rFonts w:ascii="Times New Roman" w:hAnsi="Times New Roman" w:cs="Times New Roman"/>
          <w:sz w:val="24"/>
          <w:szCs w:val="24"/>
        </w:rPr>
        <w:t>)</w:t>
      </w:r>
      <w:r w:rsidR="001E4497">
        <w:rPr>
          <w:rFonts w:ascii="Times New Roman" w:hAnsi="Times New Roman" w:cs="Times New Roman"/>
          <w:sz w:val="24"/>
          <w:szCs w:val="24"/>
        </w:rPr>
        <w:t xml:space="preserve"> are both positive and significant at the 1</w:t>
      </w:r>
      <w:r w:rsidR="007A65D2">
        <w:rPr>
          <w:rFonts w:ascii="Times New Roman" w:hAnsi="Times New Roman" w:cs="Times New Roman"/>
          <w:sz w:val="24"/>
          <w:szCs w:val="24"/>
        </w:rPr>
        <w:t>0</w:t>
      </w:r>
      <w:r w:rsidR="001E4497">
        <w:rPr>
          <w:rFonts w:ascii="Times New Roman" w:hAnsi="Times New Roman" w:cs="Times New Roman"/>
          <w:sz w:val="24"/>
          <w:szCs w:val="24"/>
        </w:rPr>
        <w:t>%</w:t>
      </w:r>
      <w:r w:rsidR="007A65D2">
        <w:rPr>
          <w:rFonts w:ascii="Times New Roman" w:hAnsi="Times New Roman" w:cs="Times New Roman"/>
          <w:sz w:val="24"/>
          <w:szCs w:val="24"/>
        </w:rPr>
        <w:t xml:space="preserve"> and 1%</w:t>
      </w:r>
      <w:r w:rsidR="001E4497">
        <w:rPr>
          <w:rFonts w:ascii="Times New Roman" w:hAnsi="Times New Roman" w:cs="Times New Roman"/>
          <w:sz w:val="24"/>
          <w:szCs w:val="24"/>
        </w:rPr>
        <w:t xml:space="preserve"> level</w:t>
      </w:r>
      <w:r w:rsidR="00C32534">
        <w:rPr>
          <w:rFonts w:ascii="Times New Roman" w:hAnsi="Times New Roman" w:cs="Times New Roman"/>
          <w:sz w:val="24"/>
          <w:szCs w:val="24"/>
        </w:rPr>
        <w:t>, respectively</w:t>
      </w:r>
      <w:r w:rsidR="002E4EA5">
        <w:rPr>
          <w:rFonts w:ascii="Times New Roman" w:hAnsi="Times New Roman" w:cs="Times New Roman"/>
          <w:sz w:val="24"/>
          <w:szCs w:val="24"/>
        </w:rPr>
        <w:t>,</w:t>
      </w:r>
      <w:r w:rsidR="00C32534">
        <w:rPr>
          <w:rFonts w:ascii="Times New Roman" w:hAnsi="Times New Roman" w:cs="Times New Roman"/>
          <w:sz w:val="24"/>
          <w:szCs w:val="24"/>
        </w:rPr>
        <w:t xml:space="preserve"> further supporting our main findings that</w:t>
      </w:r>
      <w:r w:rsidR="00051683">
        <w:rPr>
          <w:rFonts w:ascii="Times New Roman" w:hAnsi="Times New Roman" w:cs="Times New Roman"/>
          <w:sz w:val="24"/>
          <w:szCs w:val="24"/>
        </w:rPr>
        <w:t xml:space="preserve"> earning management practices leads to </w:t>
      </w:r>
      <w:r w:rsidR="00AC00FA">
        <w:rPr>
          <w:rFonts w:ascii="Times New Roman" w:hAnsi="Times New Roman" w:cs="Times New Roman"/>
          <w:sz w:val="24"/>
          <w:szCs w:val="24"/>
        </w:rPr>
        <w:t>lower post-SEO performance.</w:t>
      </w:r>
      <w:r w:rsidR="00544F57">
        <w:rPr>
          <w:rFonts w:ascii="Times New Roman" w:hAnsi="Times New Roman" w:cs="Times New Roman"/>
          <w:sz w:val="24"/>
          <w:szCs w:val="24"/>
        </w:rPr>
        <w:t xml:space="preserve"> We perform </w:t>
      </w:r>
      <w:r w:rsidR="00030926">
        <w:rPr>
          <w:rFonts w:ascii="Times New Roman" w:hAnsi="Times New Roman" w:cs="Times New Roman"/>
          <w:sz w:val="24"/>
          <w:szCs w:val="24"/>
        </w:rPr>
        <w:t xml:space="preserve">two tests to check the validity of </w:t>
      </w:r>
      <w:r w:rsidR="006A507B">
        <w:rPr>
          <w:rFonts w:ascii="Times New Roman" w:hAnsi="Times New Roman" w:cs="Times New Roman"/>
          <w:sz w:val="24"/>
          <w:szCs w:val="24"/>
        </w:rPr>
        <w:t>o</w:t>
      </w:r>
      <w:r w:rsidR="00030926">
        <w:rPr>
          <w:rFonts w:ascii="Times New Roman" w:hAnsi="Times New Roman" w:cs="Times New Roman"/>
          <w:sz w:val="24"/>
          <w:szCs w:val="24"/>
        </w:rPr>
        <w:t>ur instrument</w:t>
      </w:r>
      <w:r w:rsidR="00800280">
        <w:rPr>
          <w:rFonts w:ascii="Times New Roman" w:hAnsi="Times New Roman" w:cs="Times New Roman"/>
          <w:sz w:val="24"/>
          <w:szCs w:val="24"/>
        </w:rPr>
        <w:t>s</w:t>
      </w:r>
      <w:r w:rsidR="00D855EF">
        <w:rPr>
          <w:rFonts w:ascii="Times New Roman" w:hAnsi="Times New Roman" w:cs="Times New Roman"/>
          <w:sz w:val="24"/>
          <w:szCs w:val="24"/>
        </w:rPr>
        <w:t>.</w:t>
      </w:r>
      <w:r w:rsidR="00D06CE1">
        <w:rPr>
          <w:rFonts w:ascii="Times New Roman" w:hAnsi="Times New Roman" w:cs="Times New Roman"/>
          <w:sz w:val="24"/>
          <w:szCs w:val="24"/>
        </w:rPr>
        <w:t xml:space="preserve"> First, the results of the underidenification test</w:t>
      </w:r>
      <w:r w:rsidR="00407FC3">
        <w:rPr>
          <w:rFonts w:ascii="Times New Roman" w:hAnsi="Times New Roman" w:cs="Times New Roman"/>
          <w:sz w:val="24"/>
          <w:szCs w:val="24"/>
        </w:rPr>
        <w:t xml:space="preserve">, the </w:t>
      </w:r>
      <w:r w:rsidR="007A7E69" w:rsidRPr="007A7E69">
        <w:rPr>
          <w:rFonts w:ascii="Times New Roman" w:hAnsi="Times New Roman" w:cs="Times New Roman"/>
          <w:sz w:val="24"/>
          <w:szCs w:val="24"/>
        </w:rPr>
        <w:t>Kleibergen-Paap rk LM statistic</w:t>
      </w:r>
      <w:r w:rsidR="007A7E69">
        <w:rPr>
          <w:rFonts w:ascii="Times New Roman" w:hAnsi="Times New Roman" w:cs="Times New Roman"/>
          <w:sz w:val="24"/>
          <w:szCs w:val="24"/>
        </w:rPr>
        <w:t>,</w:t>
      </w:r>
      <w:r w:rsidR="00C115DA">
        <w:rPr>
          <w:rFonts w:ascii="Times New Roman" w:hAnsi="Times New Roman" w:cs="Times New Roman"/>
          <w:sz w:val="24"/>
          <w:szCs w:val="24"/>
        </w:rPr>
        <w:t xml:space="preserve"> shows that our model is identified</w:t>
      </w:r>
      <w:r w:rsidR="006B2668">
        <w:rPr>
          <w:rFonts w:ascii="Times New Roman" w:hAnsi="Times New Roman" w:cs="Times New Roman"/>
          <w:sz w:val="24"/>
          <w:szCs w:val="24"/>
        </w:rPr>
        <w:t xml:space="preserve"> (p = 0.0000). </w:t>
      </w:r>
      <w:r w:rsidR="006D1CF4">
        <w:rPr>
          <w:rFonts w:ascii="Times New Roman" w:hAnsi="Times New Roman" w:cs="Times New Roman"/>
          <w:sz w:val="24"/>
          <w:szCs w:val="24"/>
        </w:rPr>
        <w:t>Second</w:t>
      </w:r>
      <w:r w:rsidR="008F2F5E">
        <w:rPr>
          <w:rFonts w:ascii="Times New Roman" w:hAnsi="Times New Roman" w:cs="Times New Roman"/>
          <w:sz w:val="24"/>
          <w:szCs w:val="24"/>
        </w:rPr>
        <w:t xml:space="preserve">, the </w:t>
      </w:r>
      <w:r w:rsidR="003E2C03" w:rsidRPr="003E2C03">
        <w:rPr>
          <w:rFonts w:ascii="Times New Roman" w:hAnsi="Times New Roman" w:cs="Times New Roman"/>
          <w:sz w:val="24"/>
          <w:szCs w:val="24"/>
        </w:rPr>
        <w:t>Kleibergen-Paap rk Wald F statistic</w:t>
      </w:r>
      <w:r w:rsidR="003E2C03">
        <w:rPr>
          <w:rFonts w:ascii="Times New Roman" w:hAnsi="Times New Roman" w:cs="Times New Roman"/>
          <w:sz w:val="24"/>
          <w:szCs w:val="24"/>
        </w:rPr>
        <w:t xml:space="preserve"> </w:t>
      </w:r>
      <w:r w:rsidR="002A05F9">
        <w:rPr>
          <w:rFonts w:ascii="Times New Roman" w:hAnsi="Times New Roman" w:cs="Times New Roman"/>
          <w:sz w:val="24"/>
          <w:szCs w:val="24"/>
        </w:rPr>
        <w:lastRenderedPageBreak/>
        <w:t>(</w:t>
      </w:r>
      <w:r w:rsidR="00C01290" w:rsidRPr="003E2C03">
        <w:rPr>
          <w:rFonts w:ascii="Times New Roman" w:hAnsi="Times New Roman" w:cs="Times New Roman"/>
          <w:sz w:val="24"/>
          <w:szCs w:val="24"/>
        </w:rPr>
        <w:t>Kleibergen</w:t>
      </w:r>
      <w:r w:rsidR="002A05F9">
        <w:rPr>
          <w:rFonts w:ascii="Times New Roman" w:hAnsi="Times New Roman" w:cs="Times New Roman"/>
          <w:sz w:val="24"/>
          <w:szCs w:val="24"/>
        </w:rPr>
        <w:t xml:space="preserve"> and </w:t>
      </w:r>
      <w:r w:rsidR="00C01290" w:rsidRPr="003E2C03">
        <w:rPr>
          <w:rFonts w:ascii="Times New Roman" w:hAnsi="Times New Roman" w:cs="Times New Roman"/>
          <w:sz w:val="24"/>
          <w:szCs w:val="24"/>
        </w:rPr>
        <w:t>Pa</w:t>
      </w:r>
      <w:r w:rsidR="002A05F9">
        <w:rPr>
          <w:rFonts w:ascii="Times New Roman" w:hAnsi="Times New Roman" w:cs="Times New Roman"/>
          <w:sz w:val="24"/>
          <w:szCs w:val="24"/>
        </w:rPr>
        <w:t xml:space="preserve">ap, 2006) </w:t>
      </w:r>
      <w:r w:rsidR="003E2C03">
        <w:rPr>
          <w:rFonts w:ascii="Times New Roman" w:hAnsi="Times New Roman" w:cs="Times New Roman"/>
          <w:sz w:val="24"/>
          <w:szCs w:val="24"/>
        </w:rPr>
        <w:t xml:space="preserve">is higher than </w:t>
      </w:r>
      <w:r w:rsidR="00DF470D">
        <w:rPr>
          <w:rFonts w:ascii="Times New Roman" w:hAnsi="Times New Roman" w:cs="Times New Roman"/>
          <w:sz w:val="24"/>
          <w:szCs w:val="24"/>
        </w:rPr>
        <w:t xml:space="preserve">the </w:t>
      </w:r>
      <w:r w:rsidR="000B7B4D" w:rsidRPr="000B7B4D">
        <w:rPr>
          <w:rFonts w:ascii="Times New Roman" w:hAnsi="Times New Roman" w:cs="Times New Roman"/>
          <w:sz w:val="24"/>
          <w:szCs w:val="24"/>
        </w:rPr>
        <w:t>Stock-Yogo weak ID test critical values</w:t>
      </w:r>
      <w:r w:rsidR="00E40FEB">
        <w:rPr>
          <w:rFonts w:ascii="Times New Roman" w:hAnsi="Times New Roman" w:cs="Times New Roman"/>
          <w:sz w:val="24"/>
          <w:szCs w:val="24"/>
        </w:rPr>
        <w:t xml:space="preserve"> (</w:t>
      </w:r>
      <w:r w:rsidR="00E40FEB" w:rsidRPr="00E40FEB">
        <w:rPr>
          <w:rFonts w:ascii="Times New Roman" w:hAnsi="Times New Roman" w:cs="Times New Roman"/>
          <w:sz w:val="24"/>
          <w:szCs w:val="24"/>
        </w:rPr>
        <w:t>Stock</w:t>
      </w:r>
      <w:r w:rsidR="002A39AF">
        <w:rPr>
          <w:rFonts w:ascii="Times New Roman" w:hAnsi="Times New Roman" w:cs="Times New Roman"/>
          <w:sz w:val="24"/>
          <w:szCs w:val="24"/>
        </w:rPr>
        <w:t xml:space="preserve"> and </w:t>
      </w:r>
      <w:r w:rsidR="00E40FEB" w:rsidRPr="00E40FEB">
        <w:rPr>
          <w:rFonts w:ascii="Times New Roman" w:hAnsi="Times New Roman" w:cs="Times New Roman"/>
          <w:sz w:val="24"/>
          <w:szCs w:val="24"/>
        </w:rPr>
        <w:t>Yogo</w:t>
      </w:r>
      <w:r w:rsidR="00E40FEB">
        <w:rPr>
          <w:rFonts w:ascii="Times New Roman" w:hAnsi="Times New Roman" w:cs="Times New Roman"/>
          <w:sz w:val="24"/>
          <w:szCs w:val="24"/>
        </w:rPr>
        <w:t>,</w:t>
      </w:r>
      <w:r w:rsidR="00E40FEB" w:rsidRPr="00E40FEB">
        <w:rPr>
          <w:rFonts w:ascii="Times New Roman" w:hAnsi="Times New Roman" w:cs="Times New Roman"/>
          <w:sz w:val="24"/>
          <w:szCs w:val="24"/>
        </w:rPr>
        <w:t xml:space="preserve"> 2005)</w:t>
      </w:r>
      <w:r w:rsidR="000B7B4D">
        <w:rPr>
          <w:rFonts w:ascii="Times New Roman" w:hAnsi="Times New Roman" w:cs="Times New Roman"/>
          <w:sz w:val="24"/>
          <w:szCs w:val="24"/>
        </w:rPr>
        <w:t xml:space="preserve">, confirming that </w:t>
      </w:r>
      <w:r w:rsidR="00800280">
        <w:rPr>
          <w:rFonts w:ascii="Times New Roman" w:hAnsi="Times New Roman" w:cs="Times New Roman"/>
          <w:sz w:val="24"/>
          <w:szCs w:val="24"/>
        </w:rPr>
        <w:t xml:space="preserve">our instruments </w:t>
      </w:r>
      <w:r w:rsidR="00BB4ECB">
        <w:rPr>
          <w:rFonts w:ascii="Times New Roman" w:hAnsi="Times New Roman" w:cs="Times New Roman"/>
          <w:sz w:val="24"/>
          <w:szCs w:val="24"/>
        </w:rPr>
        <w:t>are</w:t>
      </w:r>
      <w:r w:rsidR="00800280">
        <w:rPr>
          <w:rFonts w:ascii="Times New Roman" w:hAnsi="Times New Roman" w:cs="Times New Roman"/>
          <w:sz w:val="24"/>
          <w:szCs w:val="24"/>
        </w:rPr>
        <w:t xml:space="preserve"> not weak.</w:t>
      </w:r>
    </w:p>
    <w:p w14:paraId="3AF9FC81" w14:textId="2130FC0A" w:rsidR="00EB724B" w:rsidRDefault="0060623B" w:rsidP="00525DD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In our stepwise regression</w:t>
      </w:r>
      <w:r w:rsidR="00D8745E">
        <w:rPr>
          <w:rFonts w:ascii="Times New Roman" w:hAnsi="Times New Roman" w:cs="Times New Roman"/>
          <w:sz w:val="24"/>
          <w:szCs w:val="24"/>
        </w:rPr>
        <w:t>,</w:t>
      </w:r>
      <w:r>
        <w:rPr>
          <w:rFonts w:ascii="Times New Roman" w:hAnsi="Times New Roman" w:cs="Times New Roman"/>
          <w:sz w:val="24"/>
          <w:szCs w:val="24"/>
        </w:rPr>
        <w:t xml:space="preserve"> we </w:t>
      </w:r>
      <w:r w:rsidR="00F76EB5">
        <w:rPr>
          <w:rFonts w:ascii="Times New Roman" w:hAnsi="Times New Roman" w:cs="Times New Roman"/>
          <w:sz w:val="24"/>
          <w:szCs w:val="24"/>
        </w:rPr>
        <w:t xml:space="preserve">re-estimate </w:t>
      </w:r>
      <w:r w:rsidR="000C5938">
        <w:rPr>
          <w:rFonts w:ascii="Times New Roman" w:hAnsi="Times New Roman" w:cs="Times New Roman"/>
          <w:sz w:val="24"/>
          <w:szCs w:val="24"/>
        </w:rPr>
        <w:t>Equations (1) and (2)</w:t>
      </w:r>
      <w:r w:rsidR="0015453F">
        <w:rPr>
          <w:rFonts w:ascii="Times New Roman" w:hAnsi="Times New Roman" w:cs="Times New Roman"/>
          <w:sz w:val="24"/>
          <w:szCs w:val="24"/>
        </w:rPr>
        <w:t xml:space="preserve"> and </w:t>
      </w:r>
      <w:r w:rsidR="00B16E3D">
        <w:rPr>
          <w:rFonts w:ascii="Times New Roman" w:hAnsi="Times New Roman" w:cs="Times New Roman"/>
          <w:sz w:val="24"/>
          <w:szCs w:val="24"/>
        </w:rPr>
        <w:t xml:space="preserve">we report </w:t>
      </w:r>
      <w:r w:rsidR="006D1369">
        <w:rPr>
          <w:rFonts w:ascii="Times New Roman" w:hAnsi="Times New Roman" w:cs="Times New Roman"/>
          <w:sz w:val="24"/>
          <w:szCs w:val="24"/>
        </w:rPr>
        <w:t xml:space="preserve">the results for </w:t>
      </w:r>
      <w:r w:rsidR="00B16E3D">
        <w:rPr>
          <w:rFonts w:ascii="Times New Roman" w:hAnsi="Times New Roman" w:cs="Times New Roman"/>
          <w:sz w:val="24"/>
          <w:szCs w:val="24"/>
        </w:rPr>
        <w:t>only the variables of interest</w:t>
      </w:r>
      <w:r w:rsidR="006D1369">
        <w:rPr>
          <w:rFonts w:ascii="Times New Roman" w:hAnsi="Times New Roman" w:cs="Times New Roman"/>
          <w:sz w:val="24"/>
          <w:szCs w:val="24"/>
        </w:rPr>
        <w:t xml:space="preserve"> </w:t>
      </w:r>
      <w:r w:rsidR="006F72A2">
        <w:rPr>
          <w:rFonts w:ascii="Times New Roman" w:hAnsi="Times New Roman" w:cs="Times New Roman"/>
          <w:sz w:val="24"/>
          <w:szCs w:val="24"/>
        </w:rPr>
        <w:t>in Columns (5) and (6)</w:t>
      </w:r>
      <w:r w:rsidR="00D766EB">
        <w:rPr>
          <w:rFonts w:ascii="Times New Roman" w:hAnsi="Times New Roman" w:cs="Times New Roman"/>
          <w:sz w:val="24"/>
          <w:szCs w:val="24"/>
        </w:rPr>
        <w:t xml:space="preserve">. </w:t>
      </w:r>
      <w:r w:rsidR="00001CF6">
        <w:rPr>
          <w:rFonts w:ascii="Times New Roman" w:hAnsi="Times New Roman" w:cs="Times New Roman"/>
          <w:sz w:val="24"/>
          <w:szCs w:val="24"/>
        </w:rPr>
        <w:t>The</w:t>
      </w:r>
      <w:r w:rsidR="00D766EB">
        <w:rPr>
          <w:rFonts w:ascii="Times New Roman" w:hAnsi="Times New Roman" w:cs="Times New Roman"/>
          <w:sz w:val="24"/>
          <w:szCs w:val="24"/>
        </w:rPr>
        <w:t xml:space="preserve"> </w:t>
      </w:r>
      <w:r w:rsidR="005E226C">
        <w:rPr>
          <w:rFonts w:ascii="Times New Roman" w:hAnsi="Times New Roman" w:cs="Times New Roman"/>
          <w:sz w:val="24"/>
          <w:szCs w:val="24"/>
        </w:rPr>
        <w:t>stepwise regression aim</w:t>
      </w:r>
      <w:r w:rsidR="00001CF6">
        <w:rPr>
          <w:rFonts w:ascii="Times New Roman" w:hAnsi="Times New Roman" w:cs="Times New Roman"/>
          <w:sz w:val="24"/>
          <w:szCs w:val="24"/>
        </w:rPr>
        <w:t xml:space="preserve">s to </w:t>
      </w:r>
      <w:r w:rsidR="001F75C6">
        <w:rPr>
          <w:rFonts w:ascii="Times New Roman" w:hAnsi="Times New Roman" w:cs="Times New Roman"/>
          <w:sz w:val="24"/>
          <w:szCs w:val="24"/>
        </w:rPr>
        <w:t xml:space="preserve">identify the variables that account for </w:t>
      </w:r>
      <w:r w:rsidR="00E02AFF">
        <w:rPr>
          <w:rFonts w:ascii="Times New Roman" w:hAnsi="Times New Roman" w:cs="Times New Roman"/>
          <w:sz w:val="24"/>
          <w:szCs w:val="24"/>
        </w:rPr>
        <w:t>most</w:t>
      </w:r>
      <w:r w:rsidR="001F75C6">
        <w:rPr>
          <w:rFonts w:ascii="Times New Roman" w:hAnsi="Times New Roman" w:cs="Times New Roman"/>
          <w:sz w:val="24"/>
          <w:szCs w:val="24"/>
        </w:rPr>
        <w:t xml:space="preserve"> </w:t>
      </w:r>
      <w:r w:rsidR="000F16E1">
        <w:rPr>
          <w:rFonts w:ascii="Times New Roman" w:hAnsi="Times New Roman" w:cs="Times New Roman"/>
          <w:sz w:val="24"/>
          <w:szCs w:val="24"/>
        </w:rPr>
        <w:t xml:space="preserve">of the </w:t>
      </w:r>
      <w:r w:rsidR="001F75C6">
        <w:rPr>
          <w:rFonts w:ascii="Times New Roman" w:hAnsi="Times New Roman" w:cs="Times New Roman"/>
          <w:sz w:val="24"/>
          <w:szCs w:val="24"/>
        </w:rPr>
        <w:t>variance</w:t>
      </w:r>
      <w:r w:rsidR="004D18FE">
        <w:rPr>
          <w:rFonts w:ascii="Times New Roman" w:hAnsi="Times New Roman" w:cs="Times New Roman"/>
          <w:sz w:val="24"/>
          <w:szCs w:val="24"/>
        </w:rPr>
        <w:t xml:space="preserve"> in our model, to determine the incremental validity of our predictors and to </w:t>
      </w:r>
      <w:r w:rsidR="00792089">
        <w:rPr>
          <w:rFonts w:ascii="Times New Roman" w:hAnsi="Times New Roman" w:cs="Times New Roman"/>
          <w:sz w:val="24"/>
          <w:szCs w:val="24"/>
        </w:rPr>
        <w:t xml:space="preserve">test the association between the dependent and independent variables. </w:t>
      </w:r>
      <w:r w:rsidR="00BC51AA">
        <w:rPr>
          <w:rFonts w:ascii="Times New Roman" w:hAnsi="Times New Roman" w:cs="Times New Roman"/>
          <w:sz w:val="24"/>
          <w:szCs w:val="24"/>
        </w:rPr>
        <w:t xml:space="preserve">Our results in Column (5) show that </w:t>
      </w:r>
      <w:r w:rsidR="00BC51AA" w:rsidRPr="001578CB">
        <w:rPr>
          <w:rFonts w:ascii="Times New Roman" w:hAnsi="Times New Roman" w:cs="Times New Roman"/>
          <w:i/>
          <w:iCs/>
          <w:sz w:val="24"/>
          <w:szCs w:val="24"/>
        </w:rPr>
        <w:t>AEM</w:t>
      </w:r>
      <w:r w:rsidR="00BC51AA">
        <w:rPr>
          <w:rFonts w:ascii="Times New Roman" w:hAnsi="Times New Roman" w:cs="Times New Roman"/>
          <w:sz w:val="24"/>
          <w:szCs w:val="24"/>
        </w:rPr>
        <w:t xml:space="preserve">, </w:t>
      </w:r>
      <w:r w:rsidR="00BC51AA" w:rsidRPr="001578CB">
        <w:rPr>
          <w:rFonts w:ascii="Times New Roman" w:hAnsi="Times New Roman" w:cs="Times New Roman"/>
          <w:i/>
          <w:iCs/>
          <w:sz w:val="24"/>
          <w:szCs w:val="24"/>
        </w:rPr>
        <w:t>RAM</w:t>
      </w:r>
      <w:r w:rsidR="00BC51AA">
        <w:rPr>
          <w:rFonts w:ascii="Times New Roman" w:hAnsi="Times New Roman" w:cs="Times New Roman"/>
          <w:sz w:val="24"/>
          <w:szCs w:val="24"/>
        </w:rPr>
        <w:t xml:space="preserve">, and </w:t>
      </w:r>
      <w:r w:rsidR="00BC51AA" w:rsidRPr="001578CB">
        <w:rPr>
          <w:rFonts w:ascii="Times New Roman" w:hAnsi="Times New Roman" w:cs="Times New Roman"/>
          <w:i/>
          <w:iCs/>
          <w:sz w:val="24"/>
          <w:szCs w:val="24"/>
        </w:rPr>
        <w:t>LAW</w:t>
      </w:r>
      <w:r w:rsidR="00BC51AA">
        <w:rPr>
          <w:rFonts w:ascii="Times New Roman" w:hAnsi="Times New Roman" w:cs="Times New Roman"/>
          <w:sz w:val="24"/>
          <w:szCs w:val="24"/>
        </w:rPr>
        <w:t xml:space="preserve"> are among the strongest predi</w:t>
      </w:r>
      <w:r w:rsidR="00E02AFF">
        <w:rPr>
          <w:rFonts w:ascii="Times New Roman" w:hAnsi="Times New Roman" w:cs="Times New Roman"/>
          <w:sz w:val="24"/>
          <w:szCs w:val="24"/>
        </w:rPr>
        <w:t>c</w:t>
      </w:r>
      <w:r w:rsidR="00BC51AA">
        <w:rPr>
          <w:rFonts w:ascii="Times New Roman" w:hAnsi="Times New Roman" w:cs="Times New Roman"/>
          <w:sz w:val="24"/>
          <w:szCs w:val="24"/>
        </w:rPr>
        <w:t>tors of post-SEO performance</w:t>
      </w:r>
      <w:r w:rsidR="00D56440">
        <w:rPr>
          <w:rFonts w:ascii="Times New Roman" w:hAnsi="Times New Roman" w:cs="Times New Roman"/>
          <w:sz w:val="24"/>
          <w:szCs w:val="24"/>
        </w:rPr>
        <w:t xml:space="preserve">. In Column (6) </w:t>
      </w:r>
      <w:r w:rsidR="003541EF">
        <w:rPr>
          <w:rFonts w:ascii="Times New Roman" w:hAnsi="Times New Roman" w:cs="Times New Roman"/>
          <w:sz w:val="24"/>
          <w:szCs w:val="24"/>
        </w:rPr>
        <w:t xml:space="preserve">the coefficient on </w:t>
      </w:r>
      <w:r w:rsidR="003541EF" w:rsidRPr="001578CB">
        <w:rPr>
          <w:rFonts w:ascii="Times New Roman" w:hAnsi="Times New Roman" w:cs="Times New Roman"/>
          <w:i/>
          <w:iCs/>
          <w:sz w:val="24"/>
          <w:szCs w:val="24"/>
        </w:rPr>
        <w:t>TAR</w:t>
      </w:r>
      <w:r w:rsidR="00514289">
        <w:rPr>
          <w:rFonts w:ascii="Times New Roman" w:hAnsi="Times New Roman" w:cs="Times New Roman"/>
          <w:sz w:val="24"/>
          <w:szCs w:val="24"/>
        </w:rPr>
        <w:t xml:space="preserve"> is negative and significant. </w:t>
      </w:r>
      <w:r w:rsidR="00A5441C">
        <w:rPr>
          <w:rFonts w:ascii="Times New Roman" w:hAnsi="Times New Roman" w:cs="Times New Roman"/>
          <w:sz w:val="24"/>
          <w:szCs w:val="24"/>
        </w:rPr>
        <w:t xml:space="preserve">Overall, our stepwise regression results are qualitatively similar to our main results in Table 6, suggesting that our variables of </w:t>
      </w:r>
      <w:r w:rsidR="00320F23">
        <w:rPr>
          <w:rFonts w:ascii="Times New Roman" w:hAnsi="Times New Roman" w:cs="Times New Roman"/>
          <w:sz w:val="24"/>
          <w:szCs w:val="24"/>
        </w:rPr>
        <w:t xml:space="preserve">interest, </w:t>
      </w:r>
      <w:r w:rsidR="00525DDA">
        <w:rPr>
          <w:rFonts w:ascii="Times New Roman" w:hAnsi="Times New Roman" w:cs="Times New Roman"/>
          <w:sz w:val="24"/>
          <w:szCs w:val="24"/>
        </w:rPr>
        <w:t>earnings management and legal regime of a country significantly explain variations in post-SEO performance.</w:t>
      </w:r>
    </w:p>
    <w:p w14:paraId="7BD1DDE1" w14:textId="7CFDD501" w:rsidR="00D25DDA" w:rsidRDefault="00D25DDA" w:rsidP="00D25DDA">
      <w:pPr>
        <w:spacing w:after="0" w:line="480" w:lineRule="auto"/>
        <w:jc w:val="center"/>
        <w:rPr>
          <w:rFonts w:ascii="Times New Roman" w:hAnsi="Times New Roman" w:cs="Times New Roman"/>
          <w:b/>
          <w:bCs/>
          <w:iCs/>
          <w:sz w:val="24"/>
          <w:szCs w:val="24"/>
        </w:rPr>
      </w:pPr>
      <w:r w:rsidRPr="001D63A3">
        <w:rPr>
          <w:rFonts w:ascii="Times New Roman" w:hAnsi="Times New Roman" w:cs="Times New Roman"/>
          <w:b/>
          <w:bCs/>
          <w:iCs/>
          <w:sz w:val="24"/>
          <w:szCs w:val="24"/>
        </w:rPr>
        <w:t>[Insert T</w:t>
      </w:r>
      <w:r w:rsidR="00B960EC">
        <w:rPr>
          <w:rFonts w:ascii="Times New Roman" w:hAnsi="Times New Roman" w:cs="Times New Roman"/>
          <w:b/>
          <w:bCs/>
          <w:iCs/>
          <w:sz w:val="24"/>
          <w:szCs w:val="24"/>
        </w:rPr>
        <w:t>ABLE</w:t>
      </w:r>
      <w:r w:rsidRPr="001D63A3">
        <w:rPr>
          <w:rFonts w:ascii="Times New Roman" w:hAnsi="Times New Roman" w:cs="Times New Roman"/>
          <w:b/>
          <w:bCs/>
          <w:iCs/>
          <w:sz w:val="24"/>
          <w:szCs w:val="24"/>
        </w:rPr>
        <w:t xml:space="preserve"> </w:t>
      </w:r>
      <w:r>
        <w:rPr>
          <w:rFonts w:ascii="Times New Roman" w:hAnsi="Times New Roman" w:cs="Times New Roman"/>
          <w:b/>
          <w:bCs/>
          <w:iCs/>
          <w:sz w:val="24"/>
          <w:szCs w:val="24"/>
        </w:rPr>
        <w:t>12</w:t>
      </w:r>
      <w:r w:rsidR="00B960EC">
        <w:rPr>
          <w:rFonts w:ascii="Times New Roman" w:hAnsi="Times New Roman" w:cs="Times New Roman"/>
          <w:b/>
          <w:bCs/>
          <w:iCs/>
          <w:sz w:val="24"/>
          <w:szCs w:val="24"/>
        </w:rPr>
        <w:t xml:space="preserve"> about</w:t>
      </w:r>
      <w:r w:rsidRPr="001D63A3">
        <w:rPr>
          <w:rFonts w:ascii="Times New Roman" w:hAnsi="Times New Roman" w:cs="Times New Roman"/>
          <w:b/>
          <w:bCs/>
          <w:iCs/>
          <w:sz w:val="24"/>
          <w:szCs w:val="24"/>
        </w:rPr>
        <w:t xml:space="preserve"> </w:t>
      </w:r>
      <w:r w:rsidR="00B960EC">
        <w:rPr>
          <w:rFonts w:ascii="Times New Roman" w:hAnsi="Times New Roman" w:cs="Times New Roman"/>
          <w:b/>
          <w:bCs/>
          <w:iCs/>
          <w:sz w:val="24"/>
          <w:szCs w:val="24"/>
        </w:rPr>
        <w:t>h</w:t>
      </w:r>
      <w:r w:rsidRPr="001D63A3">
        <w:rPr>
          <w:rFonts w:ascii="Times New Roman" w:hAnsi="Times New Roman" w:cs="Times New Roman"/>
          <w:b/>
          <w:bCs/>
          <w:iCs/>
          <w:sz w:val="24"/>
          <w:szCs w:val="24"/>
        </w:rPr>
        <w:t>ere]</w:t>
      </w:r>
    </w:p>
    <w:p w14:paraId="6FFE2E5E" w14:textId="77777777" w:rsidR="008B0EE7" w:rsidRPr="00435F60" w:rsidRDefault="008B0EE7" w:rsidP="008B0E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435F60">
        <w:rPr>
          <w:rFonts w:ascii="Times New Roman" w:hAnsi="Times New Roman" w:cs="Times New Roman"/>
          <w:b/>
          <w:sz w:val="24"/>
          <w:szCs w:val="24"/>
        </w:rPr>
        <w:t>. Conclusion</w:t>
      </w:r>
    </w:p>
    <w:p w14:paraId="0545C29D" w14:textId="51DD6B4E" w:rsidR="008B0EE7" w:rsidRDefault="008B0EE7" w:rsidP="008B0E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examines the association between </w:t>
      </w:r>
      <w:r w:rsidRPr="00CD5568">
        <w:rPr>
          <w:rFonts w:ascii="Times New Roman" w:hAnsi="Times New Roman" w:cs="Times New Roman"/>
          <w:sz w:val="24"/>
          <w:szCs w:val="24"/>
        </w:rPr>
        <w:t xml:space="preserve">earnings management </w:t>
      </w:r>
      <w:r w:rsidR="00EA2D10" w:rsidRPr="00CD5568">
        <w:rPr>
          <w:rFonts w:ascii="Times New Roman" w:hAnsi="Times New Roman" w:cs="Times New Roman"/>
          <w:sz w:val="24"/>
          <w:szCs w:val="24"/>
        </w:rPr>
        <w:t>(</w:t>
      </w:r>
      <w:r w:rsidR="00EA2D10">
        <w:rPr>
          <w:rFonts w:ascii="Times New Roman" w:hAnsi="Times New Roman" w:cs="Times New Roman"/>
          <w:sz w:val="24"/>
          <w:szCs w:val="24"/>
        </w:rPr>
        <w:t>AEM and/or RAM) and post</w:t>
      </w:r>
      <w:r w:rsidR="00D673D6">
        <w:rPr>
          <w:rFonts w:ascii="Times New Roman" w:hAnsi="Times New Roman" w:cs="Times New Roman"/>
          <w:sz w:val="24"/>
          <w:szCs w:val="24"/>
        </w:rPr>
        <w:t>-</w:t>
      </w:r>
      <w:r w:rsidR="00EA2D10">
        <w:rPr>
          <w:rFonts w:ascii="Times New Roman" w:hAnsi="Times New Roman" w:cs="Times New Roman"/>
          <w:sz w:val="24"/>
          <w:szCs w:val="24"/>
        </w:rPr>
        <w:t>SEO performance and also the impact of the variation in the impact of earnings management according to the strength of the legal regime operating in a country.</w:t>
      </w:r>
      <w:r w:rsidR="00EA2D10" w:rsidRPr="00CD5568">
        <w:rPr>
          <w:rFonts w:ascii="Times New Roman" w:hAnsi="Times New Roman" w:cs="Times New Roman"/>
          <w:sz w:val="24"/>
          <w:szCs w:val="24"/>
        </w:rPr>
        <w:t xml:space="preserve"> </w:t>
      </w:r>
      <w:r>
        <w:rPr>
          <w:rFonts w:ascii="Times New Roman" w:hAnsi="Times New Roman" w:cs="Times New Roman"/>
          <w:sz w:val="24"/>
          <w:szCs w:val="24"/>
        </w:rPr>
        <w:t>Using</w:t>
      </w:r>
      <w:r w:rsidRPr="00D37D46">
        <w:rPr>
          <w:rFonts w:ascii="Times New Roman" w:hAnsi="Times New Roman" w:cs="Times New Roman"/>
          <w:sz w:val="24"/>
          <w:szCs w:val="24"/>
        </w:rPr>
        <w:t xml:space="preserve"> a sample of </w:t>
      </w:r>
      <w:r w:rsidR="00D04660">
        <w:rPr>
          <w:rFonts w:ascii="Times New Roman" w:hAnsi="Times New Roman" w:cs="Times New Roman"/>
          <w:sz w:val="24"/>
          <w:szCs w:val="24"/>
        </w:rPr>
        <w:t xml:space="preserve">observations on </w:t>
      </w:r>
      <w:r w:rsidRPr="00D37D46">
        <w:rPr>
          <w:rFonts w:ascii="Times New Roman" w:hAnsi="Times New Roman" w:cs="Times New Roman"/>
          <w:sz w:val="24"/>
          <w:szCs w:val="24"/>
        </w:rPr>
        <w:t xml:space="preserve">firms </w:t>
      </w:r>
      <w:r>
        <w:rPr>
          <w:rFonts w:ascii="Times New Roman" w:hAnsi="Times New Roman" w:cs="Times New Roman"/>
          <w:sz w:val="24"/>
          <w:szCs w:val="24"/>
        </w:rPr>
        <w:t>from</w:t>
      </w:r>
      <w:r w:rsidRPr="00D37D46">
        <w:rPr>
          <w:rFonts w:ascii="Times New Roman" w:hAnsi="Times New Roman" w:cs="Times New Roman"/>
          <w:sz w:val="24"/>
          <w:szCs w:val="24"/>
        </w:rPr>
        <w:t xml:space="preserve"> 22 countries</w:t>
      </w:r>
      <w:r>
        <w:rPr>
          <w:rFonts w:ascii="Times New Roman" w:hAnsi="Times New Roman" w:cs="Times New Roman"/>
          <w:sz w:val="24"/>
          <w:szCs w:val="24"/>
        </w:rPr>
        <w:t xml:space="preserve"> </w:t>
      </w:r>
      <w:r w:rsidR="0030291E">
        <w:rPr>
          <w:rFonts w:ascii="Times New Roman" w:hAnsi="Times New Roman" w:cs="Times New Roman"/>
          <w:sz w:val="24"/>
          <w:szCs w:val="24"/>
        </w:rPr>
        <w:t xml:space="preserve">over the period </w:t>
      </w:r>
      <w:r w:rsidRPr="00D37D46">
        <w:rPr>
          <w:rFonts w:ascii="Times New Roman" w:hAnsi="Times New Roman" w:cs="Times New Roman"/>
          <w:sz w:val="24"/>
          <w:szCs w:val="24"/>
        </w:rPr>
        <w:t>200</w:t>
      </w:r>
      <w:r>
        <w:rPr>
          <w:rFonts w:ascii="Times New Roman" w:hAnsi="Times New Roman" w:cs="Times New Roman"/>
          <w:sz w:val="24"/>
          <w:szCs w:val="24"/>
        </w:rPr>
        <w:t xml:space="preserve">5 to </w:t>
      </w:r>
      <w:r w:rsidRPr="00D37D46">
        <w:rPr>
          <w:rFonts w:ascii="Times New Roman" w:hAnsi="Times New Roman" w:cs="Times New Roman"/>
          <w:sz w:val="24"/>
          <w:szCs w:val="24"/>
        </w:rPr>
        <w:t>2017</w:t>
      </w:r>
      <w:r>
        <w:rPr>
          <w:rFonts w:ascii="Times New Roman" w:hAnsi="Times New Roman" w:cs="Times New Roman"/>
          <w:sz w:val="24"/>
          <w:szCs w:val="24"/>
        </w:rPr>
        <w:t xml:space="preserve">, we find that </w:t>
      </w:r>
      <w:r w:rsidRPr="001578CB">
        <w:rPr>
          <w:rFonts w:ascii="Times New Roman" w:hAnsi="Times New Roman" w:cs="Times New Roman"/>
          <w:i/>
          <w:iCs/>
          <w:sz w:val="24"/>
          <w:szCs w:val="24"/>
        </w:rPr>
        <w:t>RAM</w:t>
      </w:r>
      <w:r>
        <w:rPr>
          <w:rFonts w:ascii="Times New Roman" w:hAnsi="Times New Roman" w:cs="Times New Roman"/>
          <w:sz w:val="24"/>
          <w:szCs w:val="24"/>
        </w:rPr>
        <w:t xml:space="preserve"> has a greater </w:t>
      </w:r>
      <w:r w:rsidR="0030291E">
        <w:rPr>
          <w:rFonts w:ascii="Times New Roman" w:hAnsi="Times New Roman" w:cs="Times New Roman"/>
          <w:sz w:val="24"/>
          <w:szCs w:val="24"/>
        </w:rPr>
        <w:t xml:space="preserve">negative </w:t>
      </w:r>
      <w:r>
        <w:rPr>
          <w:rFonts w:ascii="Times New Roman" w:hAnsi="Times New Roman" w:cs="Times New Roman"/>
          <w:sz w:val="24"/>
          <w:szCs w:val="24"/>
        </w:rPr>
        <w:t xml:space="preserve">impact on post-SEO performance than </w:t>
      </w:r>
      <w:r w:rsidR="0030291E">
        <w:rPr>
          <w:rFonts w:ascii="Times New Roman" w:hAnsi="Times New Roman" w:cs="Times New Roman"/>
          <w:sz w:val="24"/>
          <w:szCs w:val="24"/>
        </w:rPr>
        <w:t xml:space="preserve">does </w:t>
      </w:r>
      <w:r w:rsidRPr="001578CB">
        <w:rPr>
          <w:rFonts w:ascii="Times New Roman" w:hAnsi="Times New Roman" w:cs="Times New Roman"/>
          <w:i/>
          <w:iCs/>
          <w:sz w:val="24"/>
          <w:szCs w:val="24"/>
        </w:rPr>
        <w:t>AEM</w:t>
      </w:r>
      <w:r>
        <w:rPr>
          <w:rFonts w:ascii="Times New Roman" w:hAnsi="Times New Roman" w:cs="Times New Roman"/>
          <w:sz w:val="24"/>
          <w:szCs w:val="24"/>
        </w:rPr>
        <w:t xml:space="preserve">. The result is economically significant for RAM. We also find that </w:t>
      </w:r>
      <w:r w:rsidR="00DD012B">
        <w:rPr>
          <w:rFonts w:ascii="Times New Roman" w:hAnsi="Times New Roman" w:cs="Times New Roman"/>
          <w:iCs/>
          <w:sz w:val="24"/>
          <w:szCs w:val="24"/>
        </w:rPr>
        <w:t>the negative impact of earnings management, in particular RAM, on post</w:t>
      </w:r>
      <w:r w:rsidR="004019F2">
        <w:rPr>
          <w:rFonts w:ascii="Times New Roman" w:hAnsi="Times New Roman" w:cs="Times New Roman"/>
          <w:iCs/>
          <w:sz w:val="24"/>
          <w:szCs w:val="24"/>
        </w:rPr>
        <w:t>-</w:t>
      </w:r>
      <w:r w:rsidR="00DD012B">
        <w:rPr>
          <w:rFonts w:ascii="Times New Roman" w:hAnsi="Times New Roman" w:cs="Times New Roman"/>
          <w:iCs/>
          <w:sz w:val="24"/>
          <w:szCs w:val="24"/>
        </w:rPr>
        <w:t>SEO performance is greater in countries with a strong legal regime that in other countries.</w:t>
      </w:r>
      <w:r>
        <w:rPr>
          <w:rFonts w:ascii="Times New Roman" w:hAnsi="Times New Roman" w:cs="Times New Roman"/>
          <w:sz w:val="24"/>
          <w:szCs w:val="24"/>
        </w:rPr>
        <w:t xml:space="preserve"> Our results are robust to the use of alternative measures of post-SEO performance, </w:t>
      </w:r>
      <w:r w:rsidR="009C2E38">
        <w:rPr>
          <w:rFonts w:ascii="Times New Roman" w:hAnsi="Times New Roman" w:cs="Times New Roman"/>
          <w:sz w:val="24"/>
          <w:szCs w:val="24"/>
        </w:rPr>
        <w:t xml:space="preserve">alternative measures of </w:t>
      </w:r>
      <w:r>
        <w:rPr>
          <w:rFonts w:ascii="Times New Roman" w:hAnsi="Times New Roman" w:cs="Times New Roman"/>
          <w:sz w:val="24"/>
          <w:szCs w:val="24"/>
        </w:rPr>
        <w:t xml:space="preserve">earnings management, </w:t>
      </w:r>
      <w:r w:rsidR="00594AEE">
        <w:rPr>
          <w:rFonts w:ascii="Times New Roman" w:hAnsi="Times New Roman" w:cs="Times New Roman"/>
          <w:sz w:val="24"/>
          <w:szCs w:val="24"/>
        </w:rPr>
        <w:t xml:space="preserve">alternative measures of a country’s legal regime, </w:t>
      </w:r>
      <w:r>
        <w:rPr>
          <w:rFonts w:ascii="Times New Roman" w:hAnsi="Times New Roman" w:cs="Times New Roman"/>
          <w:sz w:val="24"/>
          <w:szCs w:val="24"/>
        </w:rPr>
        <w:t xml:space="preserve">and </w:t>
      </w:r>
      <w:r w:rsidR="000052F4">
        <w:rPr>
          <w:rFonts w:ascii="Times New Roman" w:hAnsi="Times New Roman" w:cs="Times New Roman"/>
          <w:sz w:val="24"/>
          <w:szCs w:val="24"/>
        </w:rPr>
        <w:t>tests for endogeneity</w:t>
      </w:r>
      <w:r>
        <w:rPr>
          <w:rFonts w:ascii="Times New Roman" w:hAnsi="Times New Roman" w:cs="Times New Roman"/>
          <w:sz w:val="24"/>
          <w:szCs w:val="24"/>
        </w:rPr>
        <w:t>.</w:t>
      </w:r>
    </w:p>
    <w:p w14:paraId="6047BB41" w14:textId="366A6A86" w:rsidR="008B0EE7"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By showing the relative impact of </w:t>
      </w:r>
      <w:r w:rsidRPr="001578CB">
        <w:rPr>
          <w:rFonts w:ascii="Times New Roman" w:hAnsi="Times New Roman" w:cs="Times New Roman"/>
          <w:i/>
          <w:iCs/>
          <w:sz w:val="24"/>
          <w:szCs w:val="24"/>
        </w:rPr>
        <w:t>AEM</w:t>
      </w:r>
      <w:r>
        <w:rPr>
          <w:rFonts w:ascii="Times New Roman" w:hAnsi="Times New Roman" w:cs="Times New Roman"/>
          <w:sz w:val="24"/>
          <w:szCs w:val="24"/>
        </w:rPr>
        <w:t xml:space="preserve"> and </w:t>
      </w:r>
      <w:r w:rsidRPr="001578CB">
        <w:rPr>
          <w:rFonts w:ascii="Times New Roman" w:hAnsi="Times New Roman" w:cs="Times New Roman"/>
          <w:i/>
          <w:iCs/>
          <w:sz w:val="24"/>
          <w:szCs w:val="24"/>
        </w:rPr>
        <w:t>RAM</w:t>
      </w:r>
      <w:r>
        <w:rPr>
          <w:rFonts w:ascii="Times New Roman" w:hAnsi="Times New Roman" w:cs="Times New Roman"/>
          <w:sz w:val="24"/>
          <w:szCs w:val="24"/>
        </w:rPr>
        <w:t xml:space="preserve"> and the effect of the strength of legal regimes we provide a generalisation of studies on single countries to the international setting </w:t>
      </w:r>
      <w:r>
        <w:rPr>
          <w:rFonts w:ascii="Times New Roman" w:hAnsi="Times New Roman" w:cs="Times New Roman"/>
          <w:sz w:val="24"/>
          <w:szCs w:val="24"/>
        </w:rPr>
        <w:lastRenderedPageBreak/>
        <w:t xml:space="preserve">and emphasise the importance of the strength of </w:t>
      </w:r>
      <w:r w:rsidR="000052F4">
        <w:rPr>
          <w:rFonts w:ascii="Times New Roman" w:hAnsi="Times New Roman" w:cs="Times New Roman"/>
          <w:sz w:val="24"/>
          <w:szCs w:val="24"/>
        </w:rPr>
        <w:t xml:space="preserve">the </w:t>
      </w:r>
      <w:r>
        <w:rPr>
          <w:rFonts w:ascii="Times New Roman" w:hAnsi="Times New Roman" w:cs="Times New Roman"/>
          <w:sz w:val="24"/>
          <w:szCs w:val="24"/>
        </w:rPr>
        <w:t>legal regime. We do this by showing that the relative impacts of AEM and RAM are conditional on the strength of legal regimes.</w:t>
      </w:r>
    </w:p>
    <w:p w14:paraId="3AE78B9F" w14:textId="63E313FB" w:rsidR="008B0EE7" w:rsidRDefault="008B0EE7" w:rsidP="008B0E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Our findings should be interpreted with caution, as is common in empirical research, the results are subject to possible bias as a result of omitted unknown, but relevant, variables. </w:t>
      </w:r>
      <w:r w:rsidR="00682667">
        <w:rPr>
          <w:rFonts w:ascii="Times New Roman" w:hAnsi="Times New Roman" w:cs="Times New Roman"/>
          <w:sz w:val="24"/>
          <w:szCs w:val="24"/>
        </w:rPr>
        <w:t>Despite our attempt to confirm</w:t>
      </w:r>
      <w:r w:rsidR="00C23D5D">
        <w:rPr>
          <w:rFonts w:ascii="Times New Roman" w:hAnsi="Times New Roman" w:cs="Times New Roman"/>
          <w:sz w:val="24"/>
          <w:szCs w:val="24"/>
        </w:rPr>
        <w:t xml:space="preserve"> the robustness of our results through various sensitivity tests</w:t>
      </w:r>
      <w:r w:rsidR="00F66777">
        <w:rPr>
          <w:rFonts w:ascii="Times New Roman" w:hAnsi="Times New Roman" w:cs="Times New Roman"/>
          <w:sz w:val="24"/>
          <w:szCs w:val="24"/>
        </w:rPr>
        <w:t xml:space="preserve">, these concerns may not be resolved completely. </w:t>
      </w:r>
      <w:r w:rsidR="000052F4">
        <w:rPr>
          <w:rFonts w:ascii="Times New Roman" w:hAnsi="Times New Roman" w:cs="Times New Roman"/>
          <w:sz w:val="24"/>
          <w:szCs w:val="24"/>
        </w:rPr>
        <w:t>Nevertheless</w:t>
      </w:r>
      <w:r>
        <w:rPr>
          <w:rFonts w:ascii="Times New Roman" w:hAnsi="Times New Roman" w:cs="Times New Roman"/>
          <w:sz w:val="24"/>
          <w:szCs w:val="24"/>
        </w:rPr>
        <w:t>, this study provides the first empirical evidence o</w:t>
      </w:r>
      <w:r w:rsidR="00792A7D">
        <w:rPr>
          <w:rFonts w:ascii="Times New Roman" w:hAnsi="Times New Roman" w:cs="Times New Roman"/>
          <w:sz w:val="24"/>
          <w:szCs w:val="24"/>
        </w:rPr>
        <w:t>n</w:t>
      </w:r>
      <w:r>
        <w:rPr>
          <w:rFonts w:ascii="Times New Roman" w:hAnsi="Times New Roman" w:cs="Times New Roman"/>
          <w:sz w:val="24"/>
          <w:szCs w:val="24"/>
        </w:rPr>
        <w:t xml:space="preserve"> the association between </w:t>
      </w:r>
      <w:r w:rsidRPr="00CD5568">
        <w:rPr>
          <w:rFonts w:ascii="Times New Roman" w:hAnsi="Times New Roman" w:cs="Times New Roman"/>
          <w:sz w:val="24"/>
          <w:szCs w:val="24"/>
        </w:rPr>
        <w:t>earnings management and firm</w:t>
      </w:r>
      <w:r w:rsidR="008948A4">
        <w:rPr>
          <w:rFonts w:ascii="Times New Roman" w:hAnsi="Times New Roman" w:cs="Times New Roman"/>
          <w:sz w:val="24"/>
          <w:szCs w:val="24"/>
        </w:rPr>
        <w:t>s</w:t>
      </w:r>
      <w:r w:rsidR="00792A7D">
        <w:rPr>
          <w:rFonts w:ascii="Times New Roman" w:hAnsi="Times New Roman" w:cs="Times New Roman"/>
          <w:sz w:val="24"/>
          <w:szCs w:val="24"/>
        </w:rPr>
        <w:t>’</w:t>
      </w:r>
      <w:r w:rsidR="008948A4">
        <w:rPr>
          <w:rFonts w:ascii="Times New Roman" w:hAnsi="Times New Roman" w:cs="Times New Roman"/>
          <w:sz w:val="24"/>
          <w:szCs w:val="24"/>
        </w:rPr>
        <w:t xml:space="preserve"> post-SEO </w:t>
      </w:r>
      <w:r w:rsidRPr="00CD5568">
        <w:rPr>
          <w:rFonts w:ascii="Times New Roman" w:hAnsi="Times New Roman" w:cs="Times New Roman"/>
          <w:sz w:val="24"/>
          <w:szCs w:val="24"/>
        </w:rPr>
        <w:t>performance</w:t>
      </w:r>
      <w:r>
        <w:rPr>
          <w:rFonts w:ascii="Times New Roman" w:hAnsi="Times New Roman" w:cs="Times New Roman"/>
          <w:sz w:val="24"/>
          <w:szCs w:val="24"/>
        </w:rPr>
        <w:t xml:space="preserve"> in an international setting.</w:t>
      </w:r>
    </w:p>
    <w:p w14:paraId="7B785D5B" w14:textId="3EF92CA6" w:rsidR="006358C6" w:rsidRDefault="008B0EE7" w:rsidP="001578CB">
      <w:pPr>
        <w:spacing w:after="0" w:line="480" w:lineRule="auto"/>
        <w:ind w:firstLine="284"/>
        <w:jc w:val="both"/>
        <w:rPr>
          <w:rFonts w:ascii="Times New Roman" w:hAnsi="Times New Roman" w:cs="Times New Roman"/>
          <w:b/>
          <w:sz w:val="24"/>
          <w:szCs w:val="24"/>
          <w:highlight w:val="yellow"/>
        </w:rPr>
      </w:pPr>
      <w:r>
        <w:rPr>
          <w:rFonts w:ascii="Times New Roman" w:hAnsi="Times New Roman" w:cs="Times New Roman"/>
          <w:sz w:val="24"/>
          <w:szCs w:val="24"/>
        </w:rPr>
        <w:t xml:space="preserve">The study has implications for auditors and regulators </w:t>
      </w:r>
      <w:r w:rsidRPr="00435F60">
        <w:rPr>
          <w:rFonts w:ascii="Times New Roman" w:hAnsi="Times New Roman" w:cs="Times New Roman"/>
          <w:sz w:val="24"/>
          <w:szCs w:val="24"/>
        </w:rPr>
        <w:t xml:space="preserve">by </w:t>
      </w:r>
      <w:r>
        <w:rPr>
          <w:rFonts w:ascii="Times New Roman" w:hAnsi="Times New Roman" w:cs="Times New Roman"/>
          <w:sz w:val="24"/>
          <w:szCs w:val="24"/>
        </w:rPr>
        <w:t xml:space="preserve">encouraging </w:t>
      </w:r>
      <w:r w:rsidRPr="00435F60">
        <w:rPr>
          <w:rFonts w:ascii="Times New Roman" w:hAnsi="Times New Roman" w:cs="Times New Roman"/>
          <w:sz w:val="24"/>
          <w:szCs w:val="24"/>
        </w:rPr>
        <w:t xml:space="preserve">focus on firms </w:t>
      </w:r>
      <w:r>
        <w:rPr>
          <w:rFonts w:ascii="Times New Roman" w:hAnsi="Times New Roman" w:cs="Times New Roman"/>
          <w:sz w:val="24"/>
          <w:szCs w:val="24"/>
        </w:rPr>
        <w:t>that</w:t>
      </w:r>
      <w:r w:rsidRPr="00435F60">
        <w:rPr>
          <w:rFonts w:ascii="Times New Roman" w:hAnsi="Times New Roman" w:cs="Times New Roman"/>
          <w:sz w:val="24"/>
          <w:szCs w:val="24"/>
        </w:rPr>
        <w:t xml:space="preserve"> </w:t>
      </w:r>
      <w:r>
        <w:rPr>
          <w:rFonts w:ascii="Times New Roman" w:hAnsi="Times New Roman" w:cs="Times New Roman"/>
          <w:sz w:val="24"/>
          <w:szCs w:val="24"/>
        </w:rPr>
        <w:t xml:space="preserve">have extreme levels of earnings management </w:t>
      </w:r>
      <w:r w:rsidRPr="00435F60">
        <w:rPr>
          <w:rFonts w:ascii="Times New Roman" w:hAnsi="Times New Roman" w:cs="Times New Roman"/>
          <w:sz w:val="24"/>
          <w:szCs w:val="24"/>
        </w:rPr>
        <w:t xml:space="preserve">prior to </w:t>
      </w:r>
      <w:r>
        <w:rPr>
          <w:rFonts w:ascii="Times New Roman" w:hAnsi="Times New Roman" w:cs="Times New Roman"/>
          <w:sz w:val="24"/>
          <w:szCs w:val="24"/>
        </w:rPr>
        <w:t xml:space="preserve">their </w:t>
      </w:r>
      <w:r w:rsidRPr="00435F60">
        <w:rPr>
          <w:rFonts w:ascii="Times New Roman" w:hAnsi="Times New Roman" w:cs="Times New Roman"/>
          <w:sz w:val="24"/>
          <w:szCs w:val="24"/>
        </w:rPr>
        <w:t xml:space="preserve">SEOs. </w:t>
      </w:r>
      <w:r>
        <w:rPr>
          <w:rFonts w:ascii="Times New Roman" w:hAnsi="Times New Roman" w:cs="Times New Roman"/>
          <w:sz w:val="24"/>
          <w:szCs w:val="24"/>
        </w:rPr>
        <w:t>Also, our results</w:t>
      </w:r>
      <w:r w:rsidRPr="00435F60">
        <w:rPr>
          <w:rFonts w:ascii="Times New Roman" w:hAnsi="Times New Roman" w:cs="Times New Roman"/>
          <w:sz w:val="24"/>
          <w:szCs w:val="24"/>
        </w:rPr>
        <w:t xml:space="preserve"> </w:t>
      </w:r>
      <w:r>
        <w:rPr>
          <w:rFonts w:ascii="Times New Roman" w:hAnsi="Times New Roman" w:cs="Times New Roman"/>
          <w:sz w:val="24"/>
          <w:szCs w:val="24"/>
        </w:rPr>
        <w:t xml:space="preserve">are valuable for analysts and </w:t>
      </w:r>
      <w:r w:rsidRPr="00435F60">
        <w:rPr>
          <w:rFonts w:ascii="Times New Roman" w:hAnsi="Times New Roman" w:cs="Times New Roman"/>
          <w:sz w:val="24"/>
          <w:szCs w:val="24"/>
        </w:rPr>
        <w:t>investors</w:t>
      </w:r>
      <w:r w:rsidR="002A1114">
        <w:rPr>
          <w:rFonts w:ascii="Times New Roman" w:hAnsi="Times New Roman" w:cs="Times New Roman"/>
          <w:sz w:val="24"/>
          <w:szCs w:val="24"/>
        </w:rPr>
        <w:t xml:space="preserve"> when considering </w:t>
      </w:r>
      <w:r w:rsidR="00BF332D">
        <w:rPr>
          <w:rFonts w:ascii="Times New Roman" w:hAnsi="Times New Roman" w:cs="Times New Roman"/>
          <w:sz w:val="24"/>
          <w:szCs w:val="24"/>
        </w:rPr>
        <w:t>SEOs, and</w:t>
      </w:r>
      <w:r>
        <w:rPr>
          <w:rFonts w:ascii="Times New Roman" w:hAnsi="Times New Roman" w:cs="Times New Roman"/>
          <w:sz w:val="24"/>
          <w:szCs w:val="24"/>
        </w:rPr>
        <w:t xml:space="preserve"> should warn them </w:t>
      </w:r>
      <w:r w:rsidRPr="00435F60">
        <w:rPr>
          <w:rFonts w:ascii="Times New Roman" w:hAnsi="Times New Roman" w:cs="Times New Roman"/>
          <w:sz w:val="24"/>
          <w:szCs w:val="24"/>
        </w:rPr>
        <w:t xml:space="preserve">to </w:t>
      </w:r>
      <w:r>
        <w:rPr>
          <w:rFonts w:ascii="Times New Roman" w:hAnsi="Times New Roman" w:cs="Times New Roman"/>
          <w:sz w:val="24"/>
          <w:szCs w:val="24"/>
        </w:rPr>
        <w:t>exercise caution</w:t>
      </w:r>
      <w:r w:rsidRPr="00435F6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435F60">
        <w:rPr>
          <w:rFonts w:ascii="Times New Roman" w:hAnsi="Times New Roman" w:cs="Times New Roman"/>
          <w:sz w:val="24"/>
          <w:szCs w:val="24"/>
        </w:rPr>
        <w:t>investing in firms</w:t>
      </w:r>
      <w:r>
        <w:rPr>
          <w:rFonts w:ascii="Times New Roman" w:hAnsi="Times New Roman" w:cs="Times New Roman"/>
          <w:sz w:val="24"/>
          <w:szCs w:val="24"/>
        </w:rPr>
        <w:t xml:space="preserve"> that are</w:t>
      </w:r>
      <w:r w:rsidRPr="00435F60">
        <w:rPr>
          <w:rFonts w:ascii="Times New Roman" w:hAnsi="Times New Roman" w:cs="Times New Roman"/>
          <w:sz w:val="24"/>
          <w:szCs w:val="24"/>
        </w:rPr>
        <w:t xml:space="preserve"> </w:t>
      </w:r>
      <w:r>
        <w:rPr>
          <w:rFonts w:ascii="Times New Roman" w:hAnsi="Times New Roman" w:cs="Times New Roman"/>
          <w:sz w:val="24"/>
          <w:szCs w:val="24"/>
        </w:rPr>
        <w:t>thought</w:t>
      </w:r>
      <w:r w:rsidRPr="00435F60">
        <w:rPr>
          <w:rFonts w:ascii="Times New Roman" w:hAnsi="Times New Roman" w:cs="Times New Roman"/>
          <w:sz w:val="24"/>
          <w:szCs w:val="24"/>
        </w:rPr>
        <w:t xml:space="preserve"> to have </w:t>
      </w:r>
      <w:r w:rsidR="002A1114">
        <w:rPr>
          <w:rFonts w:ascii="Times New Roman" w:hAnsi="Times New Roman" w:cs="Times New Roman"/>
          <w:sz w:val="24"/>
          <w:szCs w:val="24"/>
        </w:rPr>
        <w:t xml:space="preserve">strongly </w:t>
      </w:r>
      <w:r w:rsidRPr="00435F60">
        <w:rPr>
          <w:rFonts w:ascii="Times New Roman" w:hAnsi="Times New Roman" w:cs="Times New Roman"/>
          <w:sz w:val="24"/>
          <w:szCs w:val="24"/>
        </w:rPr>
        <w:t xml:space="preserve">managed </w:t>
      </w:r>
      <w:r>
        <w:rPr>
          <w:rFonts w:ascii="Times New Roman" w:hAnsi="Times New Roman" w:cs="Times New Roman"/>
          <w:sz w:val="24"/>
          <w:szCs w:val="24"/>
        </w:rPr>
        <w:t xml:space="preserve">their </w:t>
      </w:r>
      <w:r w:rsidRPr="00435F60">
        <w:rPr>
          <w:rFonts w:ascii="Times New Roman" w:hAnsi="Times New Roman" w:cs="Times New Roman"/>
          <w:sz w:val="24"/>
          <w:szCs w:val="24"/>
        </w:rPr>
        <w:t>earnings</w:t>
      </w:r>
      <w:r>
        <w:rPr>
          <w:rFonts w:ascii="Times New Roman" w:hAnsi="Times New Roman" w:cs="Times New Roman"/>
          <w:sz w:val="24"/>
          <w:szCs w:val="24"/>
        </w:rPr>
        <w:t>,</w:t>
      </w:r>
      <w:r w:rsidRPr="00E40551">
        <w:rPr>
          <w:rFonts w:ascii="Times New Roman" w:hAnsi="Times New Roman" w:cs="Times New Roman"/>
          <w:sz w:val="24"/>
          <w:szCs w:val="24"/>
        </w:rPr>
        <w:t xml:space="preserve"> </w:t>
      </w:r>
      <w:r>
        <w:rPr>
          <w:rFonts w:ascii="Times New Roman" w:hAnsi="Times New Roman" w:cs="Times New Roman"/>
          <w:sz w:val="24"/>
          <w:szCs w:val="24"/>
        </w:rPr>
        <w:t>through accruals earnings management, real activities manipulation, or both,</w:t>
      </w:r>
      <w:r w:rsidRPr="00435F60">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9D40F2">
        <w:rPr>
          <w:rFonts w:ascii="Times New Roman" w:hAnsi="Times New Roman" w:cs="Times New Roman"/>
          <w:sz w:val="24"/>
          <w:szCs w:val="24"/>
        </w:rPr>
        <w:t xml:space="preserve">recognise the influence of </w:t>
      </w:r>
      <w:r>
        <w:rPr>
          <w:rFonts w:ascii="Times New Roman" w:hAnsi="Times New Roman" w:cs="Times New Roman"/>
          <w:sz w:val="24"/>
          <w:szCs w:val="24"/>
        </w:rPr>
        <w:t xml:space="preserve">institutional factors </w:t>
      </w:r>
      <w:r w:rsidR="00D1716B">
        <w:rPr>
          <w:rFonts w:ascii="Times New Roman" w:hAnsi="Times New Roman" w:cs="Times New Roman"/>
          <w:sz w:val="24"/>
          <w:szCs w:val="24"/>
        </w:rPr>
        <w:t>such as the legal regime</w:t>
      </w:r>
      <w:r>
        <w:rPr>
          <w:rFonts w:ascii="Times New Roman" w:hAnsi="Times New Roman" w:cs="Times New Roman"/>
          <w:sz w:val="24"/>
          <w:szCs w:val="24"/>
        </w:rPr>
        <w:t>.</w:t>
      </w:r>
      <w:r w:rsidR="006358C6">
        <w:rPr>
          <w:rFonts w:ascii="Times New Roman" w:hAnsi="Times New Roman" w:cs="Times New Roman"/>
          <w:b/>
          <w:sz w:val="24"/>
          <w:szCs w:val="24"/>
          <w:highlight w:val="yellow"/>
        </w:rPr>
        <w:br w:type="page"/>
      </w:r>
    </w:p>
    <w:p w14:paraId="38B2F1FB" w14:textId="77777777" w:rsidR="006358C6" w:rsidRPr="00A125A1" w:rsidRDefault="006358C6" w:rsidP="006358C6">
      <w:pPr>
        <w:spacing w:after="0" w:line="240" w:lineRule="auto"/>
        <w:ind w:left="284" w:right="57" w:hanging="284"/>
        <w:jc w:val="both"/>
        <w:rPr>
          <w:rFonts w:ascii="Times New Roman" w:hAnsi="Times New Roman" w:cs="Times New Roman"/>
          <w:bCs/>
          <w:sz w:val="24"/>
          <w:szCs w:val="24"/>
        </w:rPr>
      </w:pPr>
      <w:r w:rsidRPr="00A125A1">
        <w:rPr>
          <w:rFonts w:ascii="Times New Roman" w:hAnsi="Times New Roman" w:cs="Times New Roman"/>
          <w:b/>
          <w:sz w:val="24"/>
          <w:szCs w:val="24"/>
        </w:rPr>
        <w:lastRenderedPageBreak/>
        <w:t>References</w:t>
      </w:r>
    </w:p>
    <w:p w14:paraId="43FA06DF" w14:textId="77777777" w:rsidR="006358C6" w:rsidRPr="0007737F" w:rsidRDefault="006358C6" w:rsidP="006358C6">
      <w:pPr>
        <w:spacing w:after="0" w:line="240" w:lineRule="auto"/>
        <w:ind w:left="284" w:right="57" w:hanging="284"/>
        <w:jc w:val="both"/>
        <w:rPr>
          <w:rFonts w:ascii="Times New Roman" w:hAnsi="Times New Roman" w:cs="Times New Roman"/>
          <w:bCs/>
          <w:sz w:val="24"/>
          <w:szCs w:val="24"/>
        </w:rPr>
      </w:pPr>
    </w:p>
    <w:p w14:paraId="63A536B8" w14:textId="61C84249" w:rsidR="00705291" w:rsidRPr="00555D65" w:rsidRDefault="00705291" w:rsidP="006358C6">
      <w:pPr>
        <w:pStyle w:val="Bibliography"/>
        <w:spacing w:before="0" w:after="0" w:line="240" w:lineRule="auto"/>
        <w:ind w:left="284" w:right="57" w:hanging="284"/>
        <w:rPr>
          <w:sz w:val="20"/>
          <w:szCs w:val="20"/>
          <w:lang w:val="en-NZ"/>
        </w:rPr>
      </w:pPr>
      <w:r w:rsidRPr="00555D65">
        <w:rPr>
          <w:sz w:val="20"/>
          <w:szCs w:val="20"/>
          <w:lang w:val="en-NZ"/>
        </w:rPr>
        <w:t xml:space="preserve">Ashbaugh, H. (2001). Non-US firms' accounting standard choices. </w:t>
      </w:r>
      <w:r w:rsidRPr="00555D65">
        <w:rPr>
          <w:i/>
          <w:iCs/>
          <w:sz w:val="20"/>
          <w:szCs w:val="20"/>
          <w:lang w:val="en-NZ"/>
        </w:rPr>
        <w:t>Journal of Accounting and Public Policy</w:t>
      </w:r>
      <w:r w:rsidRPr="00555D65">
        <w:rPr>
          <w:sz w:val="20"/>
          <w:szCs w:val="20"/>
          <w:lang w:val="en-NZ"/>
        </w:rPr>
        <w:t xml:space="preserve">, </w:t>
      </w:r>
      <w:r w:rsidRPr="00555D65">
        <w:rPr>
          <w:i/>
          <w:iCs/>
          <w:sz w:val="20"/>
          <w:szCs w:val="20"/>
          <w:lang w:val="en-NZ"/>
        </w:rPr>
        <w:t>20</w:t>
      </w:r>
      <w:r w:rsidRPr="00555D65">
        <w:rPr>
          <w:sz w:val="20"/>
          <w:szCs w:val="20"/>
          <w:lang w:val="en-NZ"/>
        </w:rPr>
        <w:t>(2), 129-153.</w:t>
      </w:r>
    </w:p>
    <w:p w14:paraId="6C39AA8A" w14:textId="77777777" w:rsidR="0016481D" w:rsidRPr="00555D65" w:rsidRDefault="00D5766E" w:rsidP="006358C6">
      <w:pPr>
        <w:pStyle w:val="Bibliography"/>
        <w:spacing w:before="0" w:after="0" w:line="240" w:lineRule="auto"/>
        <w:ind w:left="284" w:right="57" w:hanging="284"/>
        <w:rPr>
          <w:rFonts w:ascii="Arial" w:hAnsi="Arial" w:cs="Arial"/>
          <w:color w:val="222222"/>
          <w:sz w:val="20"/>
          <w:szCs w:val="20"/>
          <w:shd w:val="clear" w:color="auto" w:fill="FFFFFF"/>
          <w:lang w:val="en-NZ"/>
        </w:rPr>
      </w:pPr>
      <w:r w:rsidRPr="00555D65">
        <w:rPr>
          <w:sz w:val="20"/>
          <w:szCs w:val="20"/>
          <w:lang w:val="en-NZ"/>
        </w:rPr>
        <w:t xml:space="preserve">Badertscher, B. A. (2011). Overvaluation and the choice of alternative earnings management mechanisms. </w:t>
      </w:r>
      <w:r w:rsidRPr="00555D65">
        <w:rPr>
          <w:i/>
          <w:iCs/>
          <w:sz w:val="20"/>
          <w:szCs w:val="20"/>
          <w:lang w:val="en-NZ"/>
        </w:rPr>
        <w:t>The Accounting Review</w:t>
      </w:r>
      <w:r w:rsidRPr="00555D65">
        <w:rPr>
          <w:sz w:val="20"/>
          <w:szCs w:val="20"/>
          <w:lang w:val="en-NZ"/>
        </w:rPr>
        <w:t xml:space="preserve">, </w:t>
      </w:r>
      <w:r w:rsidRPr="00555D65">
        <w:rPr>
          <w:i/>
          <w:iCs/>
          <w:sz w:val="20"/>
          <w:szCs w:val="20"/>
          <w:lang w:val="en-NZ"/>
        </w:rPr>
        <w:t>86</w:t>
      </w:r>
      <w:r w:rsidRPr="00555D65">
        <w:rPr>
          <w:sz w:val="20"/>
          <w:szCs w:val="20"/>
          <w:lang w:val="en-NZ"/>
        </w:rPr>
        <w:t>(5), 1491-1518.</w:t>
      </w:r>
    </w:p>
    <w:p w14:paraId="587D8595" w14:textId="77777777" w:rsidR="006E6888" w:rsidRPr="00555D65" w:rsidRDefault="0016481D" w:rsidP="006358C6">
      <w:pPr>
        <w:pStyle w:val="Bibliography"/>
        <w:spacing w:before="0" w:after="0" w:line="240" w:lineRule="auto"/>
        <w:ind w:left="284" w:right="57" w:hanging="284"/>
        <w:rPr>
          <w:rFonts w:ascii="Arial" w:hAnsi="Arial" w:cs="Arial"/>
          <w:color w:val="222222"/>
          <w:sz w:val="20"/>
          <w:szCs w:val="20"/>
          <w:shd w:val="clear" w:color="auto" w:fill="FFFFFF"/>
          <w:lang w:val="en-NZ"/>
        </w:rPr>
      </w:pPr>
      <w:r w:rsidRPr="00555D65">
        <w:rPr>
          <w:sz w:val="20"/>
          <w:szCs w:val="20"/>
          <w:lang w:val="en-NZ"/>
        </w:rPr>
        <w:t xml:space="preserve">Bae, K. H., Tan, H., </w:t>
      </w:r>
      <w:r w:rsidR="00597DA6" w:rsidRPr="00555D65">
        <w:rPr>
          <w:sz w:val="20"/>
          <w:szCs w:val="20"/>
          <w:lang w:val="en-NZ"/>
        </w:rPr>
        <w:t>and</w:t>
      </w:r>
      <w:r w:rsidRPr="00555D65">
        <w:rPr>
          <w:sz w:val="20"/>
          <w:szCs w:val="20"/>
          <w:lang w:val="en-NZ"/>
        </w:rPr>
        <w:t xml:space="preserve"> Welker, M. (2008). International GAAP differences: The impact on foreign analysts. </w:t>
      </w:r>
      <w:r w:rsidRPr="00555D65">
        <w:rPr>
          <w:i/>
          <w:iCs/>
          <w:sz w:val="20"/>
          <w:szCs w:val="20"/>
          <w:lang w:val="en-NZ"/>
        </w:rPr>
        <w:t>The Accounting Review</w:t>
      </w:r>
      <w:r w:rsidRPr="00555D65">
        <w:rPr>
          <w:sz w:val="20"/>
          <w:szCs w:val="20"/>
          <w:lang w:val="en-NZ"/>
        </w:rPr>
        <w:t xml:space="preserve">, </w:t>
      </w:r>
      <w:r w:rsidRPr="00555D65">
        <w:rPr>
          <w:i/>
          <w:iCs/>
          <w:sz w:val="20"/>
          <w:szCs w:val="20"/>
          <w:lang w:val="en-NZ"/>
        </w:rPr>
        <w:t>83</w:t>
      </w:r>
      <w:r w:rsidRPr="00555D65">
        <w:rPr>
          <w:sz w:val="20"/>
          <w:szCs w:val="20"/>
          <w:lang w:val="en-NZ"/>
        </w:rPr>
        <w:t>(3), 593-628.</w:t>
      </w:r>
    </w:p>
    <w:p w14:paraId="05485E8F" w14:textId="6464CADF" w:rsidR="0064183D" w:rsidRPr="00555D65" w:rsidRDefault="006E6888" w:rsidP="006358C6">
      <w:pPr>
        <w:pStyle w:val="Bibliography"/>
        <w:spacing w:before="0" w:after="0" w:line="240" w:lineRule="auto"/>
        <w:ind w:left="284" w:right="57" w:hanging="284"/>
        <w:rPr>
          <w:sz w:val="20"/>
          <w:szCs w:val="20"/>
          <w:lang w:val="en-NZ"/>
        </w:rPr>
      </w:pPr>
      <w:r w:rsidRPr="00555D65">
        <w:rPr>
          <w:sz w:val="20"/>
          <w:szCs w:val="20"/>
          <w:lang w:val="en-NZ"/>
        </w:rPr>
        <w:t xml:space="preserve">Biddle, G. C., </w:t>
      </w:r>
      <w:r w:rsidR="00AA36AE" w:rsidRPr="00555D65">
        <w:rPr>
          <w:sz w:val="20"/>
          <w:szCs w:val="20"/>
          <w:lang w:val="en-NZ"/>
        </w:rPr>
        <w:t>and</w:t>
      </w:r>
      <w:r w:rsidRPr="00555D65">
        <w:rPr>
          <w:sz w:val="20"/>
          <w:szCs w:val="20"/>
          <w:lang w:val="en-NZ"/>
        </w:rPr>
        <w:t xml:space="preserve"> Hilary, G. (2006). Accounting quality and firm‐level capital investment. </w:t>
      </w:r>
      <w:r w:rsidRPr="00555D65">
        <w:rPr>
          <w:i/>
          <w:iCs/>
          <w:sz w:val="20"/>
          <w:szCs w:val="20"/>
          <w:lang w:val="en-NZ"/>
        </w:rPr>
        <w:t xml:space="preserve">The </w:t>
      </w:r>
      <w:r w:rsidR="009638BC" w:rsidRPr="00555D65">
        <w:rPr>
          <w:i/>
          <w:iCs/>
          <w:sz w:val="20"/>
          <w:szCs w:val="20"/>
          <w:lang w:val="en-NZ"/>
        </w:rPr>
        <w:t>A</w:t>
      </w:r>
      <w:r w:rsidRPr="00555D65">
        <w:rPr>
          <w:i/>
          <w:iCs/>
          <w:sz w:val="20"/>
          <w:szCs w:val="20"/>
          <w:lang w:val="en-NZ"/>
        </w:rPr>
        <w:t xml:space="preserve">ccounting </w:t>
      </w:r>
      <w:r w:rsidR="009638BC" w:rsidRPr="00555D65">
        <w:rPr>
          <w:i/>
          <w:iCs/>
          <w:sz w:val="20"/>
          <w:szCs w:val="20"/>
          <w:lang w:val="en-NZ"/>
        </w:rPr>
        <w:t>R</w:t>
      </w:r>
      <w:r w:rsidRPr="00555D65">
        <w:rPr>
          <w:i/>
          <w:iCs/>
          <w:sz w:val="20"/>
          <w:szCs w:val="20"/>
          <w:lang w:val="en-NZ"/>
        </w:rPr>
        <w:t>eview</w:t>
      </w:r>
      <w:r w:rsidRPr="00555D65">
        <w:rPr>
          <w:sz w:val="20"/>
          <w:szCs w:val="20"/>
          <w:lang w:val="en-NZ"/>
        </w:rPr>
        <w:t>,</w:t>
      </w:r>
      <w:r w:rsidR="009638BC" w:rsidRPr="00555D65">
        <w:rPr>
          <w:sz w:val="20"/>
          <w:szCs w:val="20"/>
          <w:lang w:val="en-NZ"/>
        </w:rPr>
        <w:t xml:space="preserve"> </w:t>
      </w:r>
      <w:r w:rsidRPr="00555D65">
        <w:rPr>
          <w:i/>
          <w:iCs/>
          <w:sz w:val="20"/>
          <w:szCs w:val="20"/>
          <w:lang w:val="en-NZ"/>
        </w:rPr>
        <w:t>81</w:t>
      </w:r>
      <w:r w:rsidRPr="00555D65">
        <w:rPr>
          <w:sz w:val="20"/>
          <w:szCs w:val="20"/>
          <w:lang w:val="en-NZ"/>
        </w:rPr>
        <w:t>(5), 963-982.</w:t>
      </w:r>
    </w:p>
    <w:p w14:paraId="1ED4ADC5" w14:textId="6AD55CD1" w:rsidR="00B71FA4" w:rsidRPr="00555D65" w:rsidRDefault="00C76588" w:rsidP="006358C6">
      <w:pPr>
        <w:pStyle w:val="Bibliography"/>
        <w:spacing w:before="0" w:after="0" w:line="240" w:lineRule="auto"/>
        <w:ind w:left="284" w:right="57" w:hanging="284"/>
        <w:rPr>
          <w:rFonts w:ascii="Arial" w:hAnsi="Arial" w:cs="Arial"/>
          <w:color w:val="222222"/>
          <w:sz w:val="20"/>
          <w:szCs w:val="20"/>
          <w:shd w:val="clear" w:color="auto" w:fill="FFFFFF"/>
          <w:lang w:val="en-NZ"/>
        </w:rPr>
      </w:pPr>
      <w:r w:rsidRPr="00555D65">
        <w:rPr>
          <w:sz w:val="20"/>
          <w:szCs w:val="20"/>
        </w:rPr>
        <w:t xml:space="preserve">Choi, A., Choi, J. H., </w:t>
      </w:r>
      <w:r w:rsidR="00597DA6" w:rsidRPr="00555D65">
        <w:rPr>
          <w:sz w:val="20"/>
          <w:szCs w:val="20"/>
        </w:rPr>
        <w:t>and</w:t>
      </w:r>
      <w:r w:rsidRPr="00555D65">
        <w:rPr>
          <w:sz w:val="20"/>
          <w:szCs w:val="20"/>
        </w:rPr>
        <w:t xml:space="preserve"> Sohn, B. C. (2018).</w:t>
      </w:r>
      <w:r w:rsidR="0064183D" w:rsidRPr="00555D65">
        <w:rPr>
          <w:sz w:val="20"/>
          <w:szCs w:val="20"/>
        </w:rPr>
        <w:t xml:space="preserve"> </w:t>
      </w:r>
      <w:r w:rsidRPr="00555D65">
        <w:rPr>
          <w:sz w:val="20"/>
          <w:szCs w:val="20"/>
        </w:rPr>
        <w:t xml:space="preserve">The joint effect of audit quality and legal regimes on the use of real earnings management: International evidence. </w:t>
      </w:r>
      <w:r w:rsidRPr="00555D65">
        <w:rPr>
          <w:i/>
          <w:iCs/>
          <w:sz w:val="20"/>
          <w:szCs w:val="20"/>
        </w:rPr>
        <w:t>Contemporary Accounting Research</w:t>
      </w:r>
      <w:r w:rsidRPr="00555D65">
        <w:rPr>
          <w:sz w:val="20"/>
          <w:szCs w:val="20"/>
        </w:rPr>
        <w:t xml:space="preserve">, </w:t>
      </w:r>
      <w:r w:rsidRPr="00555D65">
        <w:rPr>
          <w:i/>
          <w:iCs/>
          <w:sz w:val="20"/>
          <w:szCs w:val="20"/>
        </w:rPr>
        <w:t>35</w:t>
      </w:r>
      <w:r w:rsidRPr="00555D65">
        <w:rPr>
          <w:sz w:val="20"/>
          <w:szCs w:val="20"/>
        </w:rPr>
        <w:t>(4), 2225-2257.</w:t>
      </w:r>
    </w:p>
    <w:p w14:paraId="39375534" w14:textId="1656ADA6" w:rsidR="00B71FA4" w:rsidRPr="00555D65" w:rsidRDefault="00B71FA4" w:rsidP="00E22D39">
      <w:pPr>
        <w:pStyle w:val="Bibliography"/>
        <w:spacing w:before="0" w:after="0" w:line="240" w:lineRule="auto"/>
        <w:ind w:left="284" w:right="57" w:hanging="284"/>
        <w:rPr>
          <w:sz w:val="20"/>
          <w:szCs w:val="20"/>
        </w:rPr>
      </w:pPr>
      <w:r w:rsidRPr="00555D65">
        <w:rPr>
          <w:sz w:val="20"/>
          <w:szCs w:val="20"/>
        </w:rPr>
        <w:t xml:space="preserve">Choi, A., Lee, E. Y., Park, S., </w:t>
      </w:r>
      <w:r w:rsidR="00597DA6" w:rsidRPr="00555D65">
        <w:rPr>
          <w:sz w:val="20"/>
          <w:szCs w:val="20"/>
        </w:rPr>
        <w:t>and</w:t>
      </w:r>
      <w:r w:rsidRPr="00555D65">
        <w:rPr>
          <w:sz w:val="20"/>
          <w:szCs w:val="20"/>
        </w:rPr>
        <w:t xml:space="preserve"> Sohn, B. C. (2021). The differential effect of accrual-based and real earnings management on audit fees: international evidence.</w:t>
      </w:r>
      <w:r w:rsidR="005B7D7B" w:rsidRPr="00555D65">
        <w:rPr>
          <w:sz w:val="20"/>
          <w:szCs w:val="20"/>
        </w:rPr>
        <w:t xml:space="preserve"> </w:t>
      </w:r>
      <w:r w:rsidRPr="00555D65">
        <w:rPr>
          <w:i/>
          <w:iCs/>
          <w:sz w:val="20"/>
          <w:szCs w:val="20"/>
        </w:rPr>
        <w:t>Accounting and Business Research</w:t>
      </w:r>
      <w:r w:rsidRPr="00555D65">
        <w:rPr>
          <w:sz w:val="20"/>
          <w:szCs w:val="20"/>
        </w:rPr>
        <w:t>, 1-37.</w:t>
      </w:r>
    </w:p>
    <w:p w14:paraId="68080500" w14:textId="16506631"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sz w:val="20"/>
          <w:szCs w:val="20"/>
          <w:shd w:val="clear" w:color="auto" w:fill="FFFFFF"/>
        </w:rPr>
        <w:t xml:space="preserve">Christensen, H. B., Hail, L., </w:t>
      </w:r>
      <w:r w:rsidR="00597DA6" w:rsidRPr="00555D65">
        <w:rPr>
          <w:rFonts w:cs="Times New Roman"/>
          <w:sz w:val="20"/>
          <w:szCs w:val="20"/>
          <w:shd w:val="clear" w:color="auto" w:fill="FFFFFF"/>
        </w:rPr>
        <w:t>and</w:t>
      </w:r>
      <w:r w:rsidRPr="00555D65">
        <w:rPr>
          <w:rFonts w:cs="Times New Roman"/>
          <w:sz w:val="20"/>
          <w:szCs w:val="20"/>
          <w:shd w:val="clear" w:color="auto" w:fill="FFFFFF"/>
        </w:rPr>
        <w:t xml:space="preserve"> Leuz, C. (2013). Mandatory IFRS reporting and changes in enforcement. </w:t>
      </w:r>
      <w:r w:rsidRPr="00555D65">
        <w:rPr>
          <w:rFonts w:cs="Times New Roman"/>
          <w:i/>
          <w:iCs/>
          <w:sz w:val="20"/>
          <w:szCs w:val="20"/>
          <w:shd w:val="clear" w:color="auto" w:fill="FFFFFF"/>
        </w:rPr>
        <w:t xml:space="preserve">Journal of </w:t>
      </w:r>
      <w:r w:rsidR="00E60796" w:rsidRPr="00555D65">
        <w:rPr>
          <w:rFonts w:cs="Times New Roman"/>
          <w:i/>
          <w:iCs/>
          <w:sz w:val="20"/>
          <w:szCs w:val="20"/>
          <w:shd w:val="clear" w:color="auto" w:fill="FFFFFF"/>
        </w:rPr>
        <w:t>A</w:t>
      </w:r>
      <w:r w:rsidRPr="00555D65">
        <w:rPr>
          <w:rFonts w:cs="Times New Roman"/>
          <w:i/>
          <w:iCs/>
          <w:sz w:val="20"/>
          <w:szCs w:val="20"/>
          <w:shd w:val="clear" w:color="auto" w:fill="FFFFFF"/>
        </w:rPr>
        <w:t xml:space="preserve">ccounting and </w:t>
      </w:r>
      <w:r w:rsidR="004F1FED" w:rsidRPr="00555D65">
        <w:rPr>
          <w:rFonts w:cs="Times New Roman"/>
          <w:i/>
          <w:iCs/>
          <w:sz w:val="20"/>
          <w:szCs w:val="20"/>
          <w:shd w:val="clear" w:color="auto" w:fill="FFFFFF"/>
        </w:rPr>
        <w:t>E</w:t>
      </w:r>
      <w:r w:rsidRPr="00555D65">
        <w:rPr>
          <w:rFonts w:cs="Times New Roman"/>
          <w:i/>
          <w:iCs/>
          <w:sz w:val="20"/>
          <w:szCs w:val="20"/>
          <w:shd w:val="clear" w:color="auto" w:fill="FFFFFF"/>
        </w:rPr>
        <w:t>conomics</w:t>
      </w:r>
      <w:r w:rsidRPr="00555D65">
        <w:rPr>
          <w:rFonts w:cs="Times New Roman"/>
          <w:sz w:val="20"/>
          <w:szCs w:val="20"/>
          <w:shd w:val="clear" w:color="auto" w:fill="FFFFFF"/>
        </w:rPr>
        <w:t>,</w:t>
      </w:r>
      <w:r w:rsidR="003923BE" w:rsidRPr="00555D65">
        <w:rPr>
          <w:rFonts w:cs="Times New Roman"/>
          <w:sz w:val="20"/>
          <w:szCs w:val="20"/>
          <w:shd w:val="clear" w:color="auto" w:fill="FFFFFF"/>
        </w:rPr>
        <w:t xml:space="preserve"> </w:t>
      </w:r>
      <w:r w:rsidRPr="00555D65">
        <w:rPr>
          <w:rFonts w:cs="Times New Roman"/>
          <w:i/>
          <w:iCs/>
          <w:sz w:val="20"/>
          <w:szCs w:val="20"/>
          <w:shd w:val="clear" w:color="auto" w:fill="FFFFFF"/>
        </w:rPr>
        <w:t>56</w:t>
      </w:r>
      <w:r w:rsidRPr="00555D65">
        <w:rPr>
          <w:rFonts w:cs="Times New Roman"/>
          <w:sz w:val="20"/>
          <w:szCs w:val="20"/>
          <w:shd w:val="clear" w:color="auto" w:fill="FFFFFF"/>
        </w:rPr>
        <w:t>(2-3), 147-177.</w:t>
      </w:r>
    </w:p>
    <w:p w14:paraId="16B4D2B4" w14:textId="256D11B6"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noProof/>
          <w:sz w:val="20"/>
          <w:szCs w:val="20"/>
          <w:lang w:val="en-US"/>
        </w:rPr>
        <w:t xml:space="preserve">Cohen, D. A., Dey, A., </w:t>
      </w:r>
      <w:r w:rsidR="00597DA6" w:rsidRPr="00555D65">
        <w:rPr>
          <w:rFonts w:cs="Times New Roman"/>
          <w:noProof/>
          <w:sz w:val="20"/>
          <w:szCs w:val="20"/>
          <w:lang w:val="en-US"/>
        </w:rPr>
        <w:t>and</w:t>
      </w:r>
      <w:r w:rsidRPr="00555D65">
        <w:rPr>
          <w:rFonts w:cs="Times New Roman"/>
          <w:noProof/>
          <w:sz w:val="20"/>
          <w:szCs w:val="20"/>
          <w:lang w:val="en-US"/>
        </w:rPr>
        <w:t xml:space="preserve"> Lys, T. Z. (2008). Real and accrual-based earnings management in the pre- and post-Sarbanes-Oxley periods. </w:t>
      </w:r>
      <w:r w:rsidRPr="00555D65">
        <w:rPr>
          <w:rFonts w:cs="Times New Roman"/>
          <w:i/>
          <w:iCs/>
          <w:noProof/>
          <w:sz w:val="20"/>
          <w:szCs w:val="20"/>
          <w:lang w:val="en-US"/>
        </w:rPr>
        <w:t>The Accounting Review, 83</w:t>
      </w:r>
      <w:r w:rsidRPr="00555D65">
        <w:rPr>
          <w:rFonts w:cs="Times New Roman"/>
          <w:noProof/>
          <w:sz w:val="20"/>
          <w:szCs w:val="20"/>
          <w:lang w:val="en-US"/>
        </w:rPr>
        <w:t>(3), 757-787.</w:t>
      </w:r>
    </w:p>
    <w:p w14:paraId="320406FA" w14:textId="644D3786"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Cohen, D. A., </w:t>
      </w:r>
      <w:r w:rsidR="00597DA6" w:rsidRPr="00555D65">
        <w:rPr>
          <w:sz w:val="20"/>
          <w:szCs w:val="20"/>
        </w:rPr>
        <w:t>and</w:t>
      </w:r>
      <w:r w:rsidRPr="00555D65">
        <w:rPr>
          <w:sz w:val="20"/>
          <w:szCs w:val="20"/>
        </w:rPr>
        <w:t xml:space="preserve"> Zarowin, P. (2010). Accrual-based and real earnings management activities around seasoned equity offerings. </w:t>
      </w:r>
      <w:r w:rsidRPr="00555D65">
        <w:rPr>
          <w:i/>
          <w:iCs/>
          <w:sz w:val="20"/>
          <w:szCs w:val="20"/>
        </w:rPr>
        <w:t>Journal of Accounting and Economics, 50</w:t>
      </w:r>
      <w:r w:rsidRPr="00555D65">
        <w:rPr>
          <w:sz w:val="20"/>
          <w:szCs w:val="20"/>
        </w:rPr>
        <w:t>(1), 2-19.</w:t>
      </w:r>
    </w:p>
    <w:p w14:paraId="33D5AC8B" w14:textId="5AA353BB" w:rsidR="00A441B2" w:rsidRPr="00555D65" w:rsidRDefault="00A441B2" w:rsidP="00A441B2">
      <w:pPr>
        <w:pStyle w:val="EndNoteBibliography"/>
        <w:spacing w:before="0" w:after="0"/>
        <w:ind w:left="284" w:right="57" w:hanging="284"/>
        <w:rPr>
          <w:sz w:val="20"/>
          <w:szCs w:val="20"/>
          <w:lang w:val="en-GB"/>
        </w:rPr>
      </w:pPr>
      <w:r w:rsidRPr="00555D65">
        <w:rPr>
          <w:sz w:val="20"/>
          <w:szCs w:val="20"/>
          <w:lang w:val="en-GB"/>
        </w:rPr>
        <w:t xml:space="preserve">Dechow, P. M., Sloan, R. G., and Sweeney, A. P. (1995). Detecting earnings management. </w:t>
      </w:r>
      <w:r w:rsidRPr="00555D65">
        <w:rPr>
          <w:i/>
          <w:sz w:val="20"/>
          <w:szCs w:val="20"/>
          <w:lang w:val="en-GB"/>
        </w:rPr>
        <w:t xml:space="preserve">The Accounting Review </w:t>
      </w:r>
      <w:r w:rsidRPr="00555D65">
        <w:rPr>
          <w:i/>
          <w:iCs/>
          <w:sz w:val="20"/>
          <w:szCs w:val="20"/>
          <w:lang w:val="en-GB"/>
        </w:rPr>
        <w:t>70</w:t>
      </w:r>
      <w:r w:rsidRPr="00555D65">
        <w:rPr>
          <w:sz w:val="20"/>
          <w:szCs w:val="20"/>
          <w:lang w:val="en-GB"/>
        </w:rPr>
        <w:t>(2), 193-225.</w:t>
      </w:r>
    </w:p>
    <w:p w14:paraId="2FCAB93E" w14:textId="77777777" w:rsidR="0053187F" w:rsidRPr="00555D65" w:rsidRDefault="006358C6" w:rsidP="006358C6">
      <w:pPr>
        <w:pStyle w:val="Bibliography"/>
        <w:spacing w:before="0" w:after="0" w:line="240" w:lineRule="auto"/>
        <w:ind w:left="284" w:right="57" w:hanging="284"/>
        <w:rPr>
          <w:rFonts w:ascii="Arial" w:hAnsi="Arial" w:cs="Arial"/>
          <w:color w:val="222222"/>
          <w:sz w:val="20"/>
          <w:szCs w:val="20"/>
          <w:shd w:val="clear" w:color="auto" w:fill="FFFFFF"/>
          <w:lang w:val="en-NZ"/>
        </w:rPr>
      </w:pPr>
      <w:r w:rsidRPr="00555D65">
        <w:rPr>
          <w:rFonts w:cs="Times New Roman"/>
          <w:noProof/>
          <w:sz w:val="20"/>
          <w:szCs w:val="20"/>
          <w:lang w:val="en-US"/>
        </w:rPr>
        <w:t xml:space="preserve">Doukakis, L. C. (2014). The effect of mandatory IFRS adoption on real and accrual-based earnings management activities. </w:t>
      </w:r>
      <w:r w:rsidRPr="00555D65">
        <w:rPr>
          <w:rFonts w:cs="Times New Roman"/>
          <w:i/>
          <w:iCs/>
          <w:noProof/>
          <w:sz w:val="20"/>
          <w:szCs w:val="20"/>
          <w:lang w:val="en-US"/>
        </w:rPr>
        <w:t>Journal of Accounting and Public Policy, 33</w:t>
      </w:r>
      <w:r w:rsidRPr="00555D65">
        <w:rPr>
          <w:rFonts w:cs="Times New Roman"/>
          <w:noProof/>
          <w:sz w:val="20"/>
          <w:szCs w:val="20"/>
          <w:lang w:val="en-US"/>
        </w:rPr>
        <w:t>(6), 551-572.</w:t>
      </w:r>
    </w:p>
    <w:p w14:paraId="7F13AE30" w14:textId="77777777" w:rsidR="00445174" w:rsidRPr="00555D65" w:rsidRDefault="0053187F" w:rsidP="006358C6">
      <w:pPr>
        <w:pStyle w:val="Bibliography"/>
        <w:spacing w:before="0" w:after="0" w:line="240" w:lineRule="auto"/>
        <w:ind w:left="284" w:right="57" w:hanging="284"/>
        <w:rPr>
          <w:rFonts w:ascii="Arial" w:hAnsi="Arial" w:cs="Arial"/>
          <w:color w:val="222222"/>
          <w:sz w:val="20"/>
          <w:szCs w:val="20"/>
          <w:shd w:val="clear" w:color="auto" w:fill="FFFFFF"/>
          <w:lang w:val="en-NZ"/>
        </w:rPr>
      </w:pPr>
      <w:r w:rsidRPr="00555D65">
        <w:rPr>
          <w:rFonts w:cs="Times New Roman"/>
          <w:noProof/>
          <w:sz w:val="20"/>
          <w:szCs w:val="20"/>
          <w:lang w:val="en-NZ"/>
        </w:rPr>
        <w:t xml:space="preserve">Ernstberger, J., Stich, M., </w:t>
      </w:r>
      <w:r w:rsidR="00597DA6" w:rsidRPr="00555D65">
        <w:rPr>
          <w:rFonts w:cs="Times New Roman"/>
          <w:noProof/>
          <w:sz w:val="20"/>
          <w:szCs w:val="20"/>
          <w:lang w:val="en-NZ"/>
        </w:rPr>
        <w:t>and</w:t>
      </w:r>
      <w:r w:rsidRPr="00555D65">
        <w:rPr>
          <w:rFonts w:cs="Times New Roman"/>
          <w:noProof/>
          <w:sz w:val="20"/>
          <w:szCs w:val="20"/>
          <w:lang w:val="en-NZ"/>
        </w:rPr>
        <w:t xml:space="preserve"> Vogler, O. (2012). Economic consequences of accounting enforcement reforms: The case of Germany. </w:t>
      </w:r>
      <w:r w:rsidRPr="00555D65">
        <w:rPr>
          <w:rFonts w:cs="Times New Roman"/>
          <w:i/>
          <w:iCs/>
          <w:noProof/>
          <w:sz w:val="20"/>
          <w:szCs w:val="20"/>
          <w:lang w:val="en-NZ"/>
        </w:rPr>
        <w:t>European Accounting Review</w:t>
      </w:r>
      <w:r w:rsidRPr="00555D65">
        <w:rPr>
          <w:rFonts w:cs="Times New Roman"/>
          <w:noProof/>
          <w:sz w:val="20"/>
          <w:szCs w:val="20"/>
          <w:lang w:val="en-NZ"/>
        </w:rPr>
        <w:t xml:space="preserve">, </w:t>
      </w:r>
      <w:r w:rsidRPr="00555D65">
        <w:rPr>
          <w:rFonts w:cs="Times New Roman"/>
          <w:i/>
          <w:iCs/>
          <w:noProof/>
          <w:sz w:val="20"/>
          <w:szCs w:val="20"/>
          <w:lang w:val="en-NZ"/>
        </w:rPr>
        <w:t>21</w:t>
      </w:r>
      <w:r w:rsidRPr="00555D65">
        <w:rPr>
          <w:rFonts w:cs="Times New Roman"/>
          <w:noProof/>
          <w:sz w:val="20"/>
          <w:szCs w:val="20"/>
          <w:lang w:val="en-NZ"/>
        </w:rPr>
        <w:t>(2), 217-251.</w:t>
      </w:r>
    </w:p>
    <w:p w14:paraId="4E8DE522" w14:textId="283B0EAE" w:rsidR="006358C6" w:rsidRPr="00555D65" w:rsidRDefault="006358C6" w:rsidP="006358C6">
      <w:pPr>
        <w:pStyle w:val="Bibliography"/>
        <w:spacing w:before="0" w:after="0" w:line="240" w:lineRule="auto"/>
        <w:ind w:left="284" w:right="57" w:hanging="284"/>
        <w:rPr>
          <w:rFonts w:cs="Times New Roman"/>
          <w:noProof/>
          <w:sz w:val="20"/>
          <w:szCs w:val="20"/>
          <w:lang w:val="en-NZ"/>
        </w:rPr>
      </w:pPr>
      <w:r w:rsidRPr="00555D65">
        <w:rPr>
          <w:rFonts w:cs="Times New Roman"/>
          <w:noProof/>
          <w:sz w:val="20"/>
          <w:szCs w:val="20"/>
          <w:lang w:val="en-NZ"/>
        </w:rPr>
        <w:t xml:space="preserve">Gajewski, J. F., </w:t>
      </w:r>
      <w:r w:rsidR="00597DA6" w:rsidRPr="00555D65">
        <w:rPr>
          <w:rFonts w:cs="Times New Roman"/>
          <w:noProof/>
          <w:sz w:val="20"/>
          <w:szCs w:val="20"/>
          <w:lang w:val="en-NZ"/>
        </w:rPr>
        <w:t>and</w:t>
      </w:r>
      <w:r w:rsidRPr="00555D65">
        <w:rPr>
          <w:rFonts w:cs="Times New Roman"/>
          <w:noProof/>
          <w:sz w:val="20"/>
          <w:szCs w:val="20"/>
          <w:lang w:val="en-NZ"/>
        </w:rPr>
        <w:t xml:space="preserve"> Ginglinger, E. (2002). Seasoned equity issues in a closely held market: Evidence from France. </w:t>
      </w:r>
      <w:r w:rsidRPr="00555D65">
        <w:rPr>
          <w:rFonts w:cs="Times New Roman"/>
          <w:i/>
          <w:iCs/>
          <w:noProof/>
          <w:sz w:val="20"/>
          <w:szCs w:val="20"/>
          <w:lang w:val="en-NZ"/>
        </w:rPr>
        <w:t>Review of Finance</w:t>
      </w:r>
      <w:r w:rsidRPr="00555D65">
        <w:rPr>
          <w:rFonts w:cs="Times New Roman"/>
          <w:noProof/>
          <w:sz w:val="20"/>
          <w:szCs w:val="20"/>
          <w:lang w:val="en-NZ"/>
        </w:rPr>
        <w:t xml:space="preserve">, </w:t>
      </w:r>
      <w:r w:rsidRPr="00555D65">
        <w:rPr>
          <w:rFonts w:cs="Times New Roman"/>
          <w:i/>
          <w:iCs/>
          <w:noProof/>
          <w:sz w:val="20"/>
          <w:szCs w:val="20"/>
          <w:lang w:val="en-NZ"/>
        </w:rPr>
        <w:t>6</w:t>
      </w:r>
      <w:r w:rsidRPr="00555D65">
        <w:rPr>
          <w:rFonts w:cs="Times New Roman"/>
          <w:noProof/>
          <w:sz w:val="20"/>
          <w:szCs w:val="20"/>
          <w:lang w:val="en-NZ"/>
        </w:rPr>
        <w:t>(3), 291-319.</w:t>
      </w:r>
    </w:p>
    <w:p w14:paraId="349C2A16" w14:textId="77777777"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noProof/>
          <w:sz w:val="20"/>
          <w:szCs w:val="20"/>
          <w:lang w:val="en-US"/>
        </w:rPr>
        <w:t xml:space="preserve">Garg, M. (2018). The effect of internal control certification regulatory changes on real and accrual-based earnings management. </w:t>
      </w:r>
      <w:r w:rsidRPr="00555D65">
        <w:rPr>
          <w:rFonts w:cs="Times New Roman"/>
          <w:i/>
          <w:iCs/>
          <w:noProof/>
          <w:sz w:val="20"/>
          <w:szCs w:val="20"/>
          <w:lang w:val="en-US"/>
        </w:rPr>
        <w:t>European Accounting Review</w:t>
      </w:r>
      <w:r w:rsidRPr="00555D65">
        <w:rPr>
          <w:rFonts w:cs="Times New Roman"/>
          <w:noProof/>
          <w:sz w:val="20"/>
          <w:szCs w:val="20"/>
          <w:lang w:val="en-US"/>
        </w:rPr>
        <w:t xml:space="preserve">, </w:t>
      </w:r>
      <w:r w:rsidRPr="00555D65">
        <w:rPr>
          <w:rFonts w:cs="Times New Roman"/>
          <w:i/>
          <w:iCs/>
          <w:noProof/>
          <w:sz w:val="20"/>
          <w:szCs w:val="20"/>
          <w:lang w:val="en-US"/>
        </w:rPr>
        <w:t>27</w:t>
      </w:r>
      <w:r w:rsidRPr="00555D65">
        <w:rPr>
          <w:rFonts w:cs="Times New Roman"/>
          <w:noProof/>
          <w:sz w:val="20"/>
          <w:szCs w:val="20"/>
          <w:lang w:val="en-US"/>
        </w:rPr>
        <w:t>(5), 817-844.</w:t>
      </w:r>
    </w:p>
    <w:p w14:paraId="66075493" w14:textId="7CAEF3C3"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noProof/>
          <w:sz w:val="20"/>
          <w:szCs w:val="20"/>
          <w:lang w:val="en-US"/>
        </w:rPr>
        <w:t xml:space="preserve">Graham, J. R., Harvey, C. R., </w:t>
      </w:r>
      <w:r w:rsidR="00597DA6" w:rsidRPr="00555D65">
        <w:rPr>
          <w:rFonts w:cs="Times New Roman"/>
          <w:noProof/>
          <w:sz w:val="20"/>
          <w:szCs w:val="20"/>
          <w:lang w:val="en-US"/>
        </w:rPr>
        <w:t>and</w:t>
      </w:r>
      <w:r w:rsidRPr="00555D65">
        <w:rPr>
          <w:rFonts w:cs="Times New Roman"/>
          <w:noProof/>
          <w:sz w:val="20"/>
          <w:szCs w:val="20"/>
          <w:lang w:val="en-US"/>
        </w:rPr>
        <w:t xml:space="preserve"> Rajgopal, S. (2005). The economic implications of corporate financial reporting. </w:t>
      </w:r>
      <w:r w:rsidRPr="00555D65">
        <w:rPr>
          <w:rFonts w:cs="Times New Roman"/>
          <w:i/>
          <w:iCs/>
          <w:noProof/>
          <w:sz w:val="20"/>
          <w:szCs w:val="20"/>
          <w:lang w:val="en-US"/>
        </w:rPr>
        <w:t>Journal of Accounting and Economics, 40</w:t>
      </w:r>
      <w:r w:rsidRPr="00555D65">
        <w:rPr>
          <w:rFonts w:cs="Times New Roman"/>
          <w:noProof/>
          <w:sz w:val="20"/>
          <w:szCs w:val="20"/>
          <w:lang w:val="en-US"/>
        </w:rPr>
        <w:t>(1-3), 3-73.</w:t>
      </w:r>
    </w:p>
    <w:p w14:paraId="4244694A" w14:textId="77777777"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sz w:val="20"/>
          <w:szCs w:val="20"/>
        </w:rPr>
        <w:t xml:space="preserve">Greene, W. H. (2003). </w:t>
      </w:r>
      <w:r w:rsidRPr="00555D65">
        <w:rPr>
          <w:rFonts w:cs="Times New Roman"/>
          <w:i/>
          <w:iCs/>
          <w:sz w:val="20"/>
          <w:szCs w:val="20"/>
        </w:rPr>
        <w:t>Econometric Analysis</w:t>
      </w:r>
      <w:r w:rsidRPr="00555D65">
        <w:rPr>
          <w:rFonts w:cs="Times New Roman"/>
          <w:sz w:val="20"/>
          <w:szCs w:val="20"/>
        </w:rPr>
        <w:t xml:space="preserve"> (5th ed.). Upper Saddle River, NJ: Prentice Hall.</w:t>
      </w:r>
    </w:p>
    <w:p w14:paraId="5E6326A6" w14:textId="605193DC" w:rsidR="006358C6" w:rsidRPr="00555D65" w:rsidRDefault="006358C6" w:rsidP="006358C6">
      <w:pPr>
        <w:pStyle w:val="EndNoteBibliography"/>
        <w:spacing w:before="0" w:after="0"/>
        <w:ind w:left="284" w:right="57" w:hanging="284"/>
        <w:rPr>
          <w:sz w:val="20"/>
          <w:szCs w:val="20"/>
          <w:lang w:val="en-NZ"/>
        </w:rPr>
      </w:pPr>
      <w:r w:rsidRPr="00555D65">
        <w:rPr>
          <w:sz w:val="20"/>
          <w:szCs w:val="20"/>
          <w:lang w:val="en-NZ"/>
        </w:rPr>
        <w:t xml:space="preserve">Harakeh, M., Lee, E., </w:t>
      </w:r>
      <w:r w:rsidR="00597DA6" w:rsidRPr="00555D65">
        <w:rPr>
          <w:sz w:val="20"/>
          <w:szCs w:val="20"/>
          <w:lang w:val="en-NZ"/>
        </w:rPr>
        <w:t>and</w:t>
      </w:r>
      <w:r w:rsidRPr="00555D65">
        <w:rPr>
          <w:sz w:val="20"/>
          <w:szCs w:val="20"/>
          <w:lang w:val="en-NZ"/>
        </w:rPr>
        <w:t xml:space="preserve"> Walker, M. (2019). The differential impact of IFRS adoption on aspects of seasoned equity offerings in the U.K. and France. </w:t>
      </w:r>
      <w:r w:rsidRPr="00555D65">
        <w:rPr>
          <w:i/>
          <w:iCs/>
          <w:sz w:val="20"/>
          <w:szCs w:val="20"/>
          <w:lang w:val="en-NZ"/>
        </w:rPr>
        <w:t>Accounting in Europe,</w:t>
      </w:r>
      <w:r w:rsidRPr="00555D65">
        <w:rPr>
          <w:sz w:val="20"/>
          <w:szCs w:val="20"/>
          <w:lang w:val="en-NZ"/>
        </w:rPr>
        <w:t xml:space="preserve"> </w:t>
      </w:r>
      <w:r w:rsidRPr="00555D65">
        <w:rPr>
          <w:i/>
          <w:iCs/>
          <w:sz w:val="20"/>
          <w:szCs w:val="20"/>
          <w:lang w:val="en-NZ"/>
        </w:rPr>
        <w:t>16</w:t>
      </w:r>
      <w:r w:rsidRPr="00555D65">
        <w:rPr>
          <w:sz w:val="20"/>
          <w:szCs w:val="20"/>
          <w:lang w:val="en-NZ"/>
        </w:rPr>
        <w:t>(1), 106-138.</w:t>
      </w:r>
    </w:p>
    <w:p w14:paraId="3B94563E" w14:textId="01EDEBCD" w:rsidR="006358C6" w:rsidRPr="00555D65" w:rsidRDefault="006358C6" w:rsidP="006358C6">
      <w:pPr>
        <w:pStyle w:val="EndNoteBibliography"/>
        <w:spacing w:before="0" w:after="0"/>
        <w:ind w:left="284" w:right="57" w:hanging="284"/>
        <w:rPr>
          <w:sz w:val="20"/>
          <w:szCs w:val="20"/>
          <w:shd w:val="clear" w:color="auto" w:fill="FFFFFF"/>
        </w:rPr>
      </w:pPr>
      <w:r w:rsidRPr="00555D65">
        <w:rPr>
          <w:sz w:val="20"/>
          <w:szCs w:val="20"/>
          <w:shd w:val="clear" w:color="auto" w:fill="FFFFFF"/>
        </w:rPr>
        <w:t>Hope, O. K. (2003). Disclosure practices, enforcement of accounting standards, and analysts' forecast accuracy: An international study.</w:t>
      </w:r>
      <w:r w:rsidR="003923BE" w:rsidRPr="00555D65">
        <w:rPr>
          <w:sz w:val="20"/>
          <w:szCs w:val="20"/>
          <w:shd w:val="clear" w:color="auto" w:fill="FFFFFF"/>
        </w:rPr>
        <w:t xml:space="preserve"> </w:t>
      </w:r>
      <w:r w:rsidRPr="00555D65">
        <w:rPr>
          <w:i/>
          <w:iCs/>
          <w:sz w:val="20"/>
          <w:szCs w:val="20"/>
          <w:shd w:val="clear" w:color="auto" w:fill="FFFFFF"/>
        </w:rPr>
        <w:t xml:space="preserve">Journal of </w:t>
      </w:r>
      <w:r w:rsidR="003739C6" w:rsidRPr="00555D65">
        <w:rPr>
          <w:i/>
          <w:iCs/>
          <w:sz w:val="20"/>
          <w:szCs w:val="20"/>
          <w:shd w:val="clear" w:color="auto" w:fill="FFFFFF"/>
        </w:rPr>
        <w:t>A</w:t>
      </w:r>
      <w:r w:rsidRPr="00555D65">
        <w:rPr>
          <w:i/>
          <w:iCs/>
          <w:sz w:val="20"/>
          <w:szCs w:val="20"/>
          <w:shd w:val="clear" w:color="auto" w:fill="FFFFFF"/>
        </w:rPr>
        <w:t xml:space="preserve">ccounting </w:t>
      </w:r>
      <w:r w:rsidR="003739C6" w:rsidRPr="00555D65">
        <w:rPr>
          <w:i/>
          <w:iCs/>
          <w:sz w:val="20"/>
          <w:szCs w:val="20"/>
          <w:shd w:val="clear" w:color="auto" w:fill="FFFFFF"/>
        </w:rPr>
        <w:t>R</w:t>
      </w:r>
      <w:r w:rsidRPr="00555D65">
        <w:rPr>
          <w:i/>
          <w:iCs/>
          <w:sz w:val="20"/>
          <w:szCs w:val="20"/>
          <w:shd w:val="clear" w:color="auto" w:fill="FFFFFF"/>
        </w:rPr>
        <w:t>esearch</w:t>
      </w:r>
      <w:r w:rsidRPr="00555D65">
        <w:rPr>
          <w:sz w:val="20"/>
          <w:szCs w:val="20"/>
          <w:shd w:val="clear" w:color="auto" w:fill="FFFFFF"/>
        </w:rPr>
        <w:t>,</w:t>
      </w:r>
      <w:r w:rsidR="003923BE" w:rsidRPr="00555D65">
        <w:rPr>
          <w:sz w:val="20"/>
          <w:szCs w:val="20"/>
          <w:shd w:val="clear" w:color="auto" w:fill="FFFFFF"/>
        </w:rPr>
        <w:t xml:space="preserve"> </w:t>
      </w:r>
      <w:r w:rsidRPr="00555D65">
        <w:rPr>
          <w:i/>
          <w:iCs/>
          <w:sz w:val="20"/>
          <w:szCs w:val="20"/>
          <w:shd w:val="clear" w:color="auto" w:fill="FFFFFF"/>
        </w:rPr>
        <w:t>41</w:t>
      </w:r>
      <w:r w:rsidRPr="00555D65">
        <w:rPr>
          <w:sz w:val="20"/>
          <w:szCs w:val="20"/>
          <w:shd w:val="clear" w:color="auto" w:fill="FFFFFF"/>
        </w:rPr>
        <w:t>(2), 235-272.</w:t>
      </w:r>
    </w:p>
    <w:p w14:paraId="55703B38" w14:textId="4B49427F" w:rsidR="00A33EBC" w:rsidRPr="00555D65" w:rsidRDefault="00A33EBC" w:rsidP="006358C6">
      <w:pPr>
        <w:pStyle w:val="EndNoteBibliography"/>
        <w:spacing w:before="0" w:after="0"/>
        <w:ind w:left="284" w:right="57" w:hanging="284"/>
        <w:rPr>
          <w:sz w:val="20"/>
          <w:szCs w:val="20"/>
          <w:lang w:val="en-NZ"/>
        </w:rPr>
      </w:pPr>
      <w:r w:rsidRPr="00555D65">
        <w:rPr>
          <w:sz w:val="20"/>
          <w:szCs w:val="20"/>
          <w:lang w:val="en-NZ"/>
        </w:rPr>
        <w:t xml:space="preserve">Huang, S., Roychowdhury, S., </w:t>
      </w:r>
      <w:r w:rsidR="00597DA6" w:rsidRPr="00555D65">
        <w:rPr>
          <w:sz w:val="20"/>
          <w:szCs w:val="20"/>
          <w:lang w:val="en-NZ"/>
        </w:rPr>
        <w:t>and</w:t>
      </w:r>
      <w:r w:rsidRPr="00555D65">
        <w:rPr>
          <w:sz w:val="20"/>
          <w:szCs w:val="20"/>
          <w:lang w:val="en-NZ"/>
        </w:rPr>
        <w:t xml:space="preserve"> Sletten, E. (2020). Does litigation deter or encourage real earnings management?. </w:t>
      </w:r>
      <w:r w:rsidRPr="00555D65">
        <w:rPr>
          <w:i/>
          <w:iCs/>
          <w:sz w:val="20"/>
          <w:szCs w:val="20"/>
          <w:lang w:val="en-NZ"/>
        </w:rPr>
        <w:t>The Accounting Review</w:t>
      </w:r>
      <w:r w:rsidRPr="00555D65">
        <w:rPr>
          <w:sz w:val="20"/>
          <w:szCs w:val="20"/>
          <w:lang w:val="en-NZ"/>
        </w:rPr>
        <w:t xml:space="preserve">, </w:t>
      </w:r>
      <w:r w:rsidRPr="00555D65">
        <w:rPr>
          <w:i/>
          <w:iCs/>
          <w:sz w:val="20"/>
          <w:szCs w:val="20"/>
          <w:lang w:val="en-NZ"/>
        </w:rPr>
        <w:t>95</w:t>
      </w:r>
      <w:r w:rsidRPr="00555D65">
        <w:rPr>
          <w:sz w:val="20"/>
          <w:szCs w:val="20"/>
          <w:lang w:val="en-NZ"/>
        </w:rPr>
        <w:t>(3), 251-278.</w:t>
      </w:r>
    </w:p>
    <w:p w14:paraId="2E59D3A4" w14:textId="5488CEDD" w:rsidR="006358C6" w:rsidRPr="00555D65" w:rsidRDefault="006358C6" w:rsidP="006358C6">
      <w:pPr>
        <w:pStyle w:val="EndNoteBibliography"/>
        <w:spacing w:before="0" w:after="0"/>
        <w:ind w:left="284" w:right="57" w:hanging="284"/>
        <w:rPr>
          <w:sz w:val="20"/>
          <w:szCs w:val="20"/>
          <w:lang w:val="en-NZ"/>
        </w:rPr>
      </w:pPr>
      <w:r w:rsidRPr="00555D65">
        <w:rPr>
          <w:sz w:val="20"/>
          <w:szCs w:val="20"/>
          <w:lang w:val="en-NZ"/>
        </w:rPr>
        <w:t xml:space="preserve">Intintoli, V. J., Jategaonkar, S. P., </w:t>
      </w:r>
      <w:r w:rsidR="00597DA6" w:rsidRPr="00555D65">
        <w:rPr>
          <w:sz w:val="20"/>
          <w:szCs w:val="20"/>
          <w:lang w:val="en-NZ"/>
        </w:rPr>
        <w:t>and</w:t>
      </w:r>
      <w:r w:rsidRPr="00555D65">
        <w:rPr>
          <w:sz w:val="20"/>
          <w:szCs w:val="20"/>
          <w:lang w:val="en-NZ"/>
        </w:rPr>
        <w:t xml:space="preserve"> Kahle, K. M. (2014). The effect of demand for shares on the timing and underpricing of seasoned equity offers. </w:t>
      </w:r>
      <w:r w:rsidRPr="00555D65">
        <w:rPr>
          <w:i/>
          <w:iCs/>
          <w:sz w:val="20"/>
          <w:szCs w:val="20"/>
          <w:lang w:val="en-NZ"/>
        </w:rPr>
        <w:t>Financial Management,</w:t>
      </w:r>
      <w:r w:rsidRPr="00555D65">
        <w:rPr>
          <w:sz w:val="20"/>
          <w:szCs w:val="20"/>
          <w:lang w:val="en-NZ"/>
        </w:rPr>
        <w:t xml:space="preserve"> </w:t>
      </w:r>
      <w:r w:rsidRPr="00555D65">
        <w:rPr>
          <w:i/>
          <w:iCs/>
          <w:sz w:val="20"/>
          <w:szCs w:val="20"/>
          <w:lang w:val="en-NZ"/>
        </w:rPr>
        <w:t>43</w:t>
      </w:r>
      <w:r w:rsidRPr="00555D65">
        <w:rPr>
          <w:sz w:val="20"/>
          <w:szCs w:val="20"/>
          <w:lang w:val="en-NZ"/>
        </w:rPr>
        <w:t>(1), 61-86.</w:t>
      </w:r>
    </w:p>
    <w:p w14:paraId="23DB3E52" w14:textId="78909CF4" w:rsidR="00973F6B" w:rsidRPr="00555D65" w:rsidRDefault="00973F6B" w:rsidP="006358C6">
      <w:pPr>
        <w:pStyle w:val="EndNoteBibliography"/>
        <w:spacing w:before="0" w:after="0"/>
        <w:ind w:left="284" w:right="57" w:hanging="284"/>
        <w:rPr>
          <w:sz w:val="20"/>
          <w:szCs w:val="20"/>
          <w:lang w:val="en-NZ"/>
        </w:rPr>
      </w:pPr>
      <w:r w:rsidRPr="00555D65">
        <w:rPr>
          <w:sz w:val="20"/>
          <w:szCs w:val="20"/>
          <w:lang w:val="en-NZ"/>
        </w:rPr>
        <w:t xml:space="preserve">Jones, J. J. (1991). Earnings management during import relief investigations. </w:t>
      </w:r>
      <w:r w:rsidRPr="00555D65">
        <w:rPr>
          <w:i/>
          <w:iCs/>
          <w:sz w:val="20"/>
          <w:szCs w:val="20"/>
          <w:lang w:val="en-NZ"/>
        </w:rPr>
        <w:t>Journal of Accounting Research</w:t>
      </w:r>
      <w:r w:rsidRPr="00555D65">
        <w:rPr>
          <w:sz w:val="20"/>
          <w:szCs w:val="20"/>
          <w:lang w:val="en-NZ"/>
        </w:rPr>
        <w:t xml:space="preserve">, </w:t>
      </w:r>
      <w:r w:rsidRPr="00555D65">
        <w:rPr>
          <w:i/>
          <w:iCs/>
          <w:sz w:val="20"/>
          <w:szCs w:val="20"/>
          <w:lang w:val="en-NZ"/>
        </w:rPr>
        <w:t>29</w:t>
      </w:r>
      <w:r w:rsidRPr="00555D65">
        <w:rPr>
          <w:sz w:val="20"/>
          <w:szCs w:val="20"/>
          <w:lang w:val="en-NZ"/>
        </w:rPr>
        <w:t>(2), 193-228.</w:t>
      </w:r>
    </w:p>
    <w:p w14:paraId="4FB1A542" w14:textId="7D9E48A0" w:rsidR="00134971" w:rsidRPr="00555D65" w:rsidRDefault="00134971" w:rsidP="003A487B">
      <w:pPr>
        <w:pStyle w:val="EndNoteBibliography"/>
        <w:spacing w:before="0" w:after="0"/>
        <w:ind w:left="284" w:right="57" w:hanging="284"/>
        <w:rPr>
          <w:sz w:val="20"/>
          <w:szCs w:val="20"/>
          <w:lang w:val="en-NZ"/>
        </w:rPr>
      </w:pPr>
      <w:r w:rsidRPr="00555D65">
        <w:rPr>
          <w:sz w:val="20"/>
          <w:szCs w:val="20"/>
          <w:lang w:val="en-NZ"/>
        </w:rPr>
        <w:t xml:space="preserve">Kamarudin, K. A., Ariff, A. M., </w:t>
      </w:r>
      <w:r w:rsidR="00886230" w:rsidRPr="00555D65">
        <w:rPr>
          <w:sz w:val="20"/>
          <w:szCs w:val="20"/>
          <w:lang w:val="en-NZ"/>
        </w:rPr>
        <w:t>and</w:t>
      </w:r>
      <w:r w:rsidRPr="00555D65">
        <w:rPr>
          <w:sz w:val="20"/>
          <w:szCs w:val="20"/>
          <w:lang w:val="en-NZ"/>
        </w:rPr>
        <w:t xml:space="preserve"> Jaafar, A. (2020). Investor protection, cross-listing and accounting quality. </w:t>
      </w:r>
      <w:r w:rsidRPr="00555D65">
        <w:rPr>
          <w:i/>
          <w:iCs/>
          <w:sz w:val="20"/>
          <w:szCs w:val="20"/>
          <w:lang w:val="en-NZ"/>
        </w:rPr>
        <w:t>Journal of Contemporary Accounting &amp; Economics</w:t>
      </w:r>
      <w:r w:rsidRPr="00555D65">
        <w:rPr>
          <w:sz w:val="20"/>
          <w:szCs w:val="20"/>
          <w:lang w:val="en-NZ"/>
        </w:rPr>
        <w:t xml:space="preserve">, </w:t>
      </w:r>
      <w:r w:rsidRPr="00555D65">
        <w:rPr>
          <w:i/>
          <w:iCs/>
          <w:sz w:val="20"/>
          <w:szCs w:val="20"/>
          <w:lang w:val="en-NZ"/>
        </w:rPr>
        <w:t>16</w:t>
      </w:r>
      <w:r w:rsidRPr="00555D65">
        <w:rPr>
          <w:sz w:val="20"/>
          <w:szCs w:val="20"/>
          <w:lang w:val="en-NZ"/>
        </w:rPr>
        <w:t>(1), 100179.</w:t>
      </w:r>
    </w:p>
    <w:p w14:paraId="6DFB7601" w14:textId="6643EB55" w:rsidR="004B1709" w:rsidRPr="00555D65" w:rsidRDefault="004B1709" w:rsidP="003A487B">
      <w:pPr>
        <w:pStyle w:val="EndNoteBibliography"/>
        <w:spacing w:before="0" w:after="0"/>
        <w:ind w:left="284" w:right="57" w:hanging="284"/>
        <w:rPr>
          <w:sz w:val="20"/>
          <w:szCs w:val="20"/>
          <w:lang w:val="en-GB"/>
        </w:rPr>
      </w:pPr>
      <w:r w:rsidRPr="00555D65">
        <w:rPr>
          <w:sz w:val="20"/>
          <w:szCs w:val="20"/>
          <w:lang w:val="en-NZ"/>
        </w:rPr>
        <w:t xml:space="preserve">Kleibergen, F., </w:t>
      </w:r>
      <w:r w:rsidR="00E72897" w:rsidRPr="00555D65">
        <w:rPr>
          <w:sz w:val="20"/>
          <w:szCs w:val="20"/>
          <w:lang w:val="en-NZ"/>
        </w:rPr>
        <w:t>and</w:t>
      </w:r>
      <w:r w:rsidRPr="00555D65">
        <w:rPr>
          <w:sz w:val="20"/>
          <w:szCs w:val="20"/>
          <w:lang w:val="en-NZ"/>
        </w:rPr>
        <w:t xml:space="preserve"> Paap, R. (2006). Generalized reduced rank tests using the singular value decomposition. </w:t>
      </w:r>
      <w:r w:rsidRPr="00555D65">
        <w:rPr>
          <w:i/>
          <w:iCs/>
          <w:sz w:val="20"/>
          <w:szCs w:val="20"/>
          <w:lang w:val="en-NZ"/>
        </w:rPr>
        <w:t>Journal of Econometrics</w:t>
      </w:r>
      <w:r w:rsidRPr="00555D65">
        <w:rPr>
          <w:sz w:val="20"/>
          <w:szCs w:val="20"/>
          <w:lang w:val="en-NZ"/>
        </w:rPr>
        <w:t xml:space="preserve">, </w:t>
      </w:r>
      <w:r w:rsidRPr="00555D65">
        <w:rPr>
          <w:i/>
          <w:iCs/>
          <w:sz w:val="20"/>
          <w:szCs w:val="20"/>
          <w:lang w:val="en-NZ"/>
        </w:rPr>
        <w:t>133</w:t>
      </w:r>
      <w:r w:rsidRPr="00555D65">
        <w:rPr>
          <w:sz w:val="20"/>
          <w:szCs w:val="20"/>
          <w:lang w:val="en-NZ"/>
        </w:rPr>
        <w:t>(1), 97-126.</w:t>
      </w:r>
    </w:p>
    <w:p w14:paraId="28A13980" w14:textId="3C55295F"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Kothari, S. P., Mizik, N., </w:t>
      </w:r>
      <w:r w:rsidR="00597DA6" w:rsidRPr="00555D65">
        <w:rPr>
          <w:sz w:val="20"/>
          <w:szCs w:val="20"/>
        </w:rPr>
        <w:t>and</w:t>
      </w:r>
      <w:r w:rsidRPr="00555D65">
        <w:rPr>
          <w:sz w:val="20"/>
          <w:szCs w:val="20"/>
        </w:rPr>
        <w:t xml:space="preserve"> Roychowdhury, S. (2016). Managing for the moment: The role of earnings management via real activities versus accruals in SEO valuation. </w:t>
      </w:r>
      <w:r w:rsidRPr="00555D65">
        <w:rPr>
          <w:i/>
          <w:sz w:val="20"/>
          <w:szCs w:val="20"/>
        </w:rPr>
        <w:t>The Accounting Review, 91</w:t>
      </w:r>
      <w:r w:rsidRPr="00555D65">
        <w:rPr>
          <w:sz w:val="20"/>
          <w:szCs w:val="20"/>
        </w:rPr>
        <w:t>(2), 559-586.</w:t>
      </w:r>
    </w:p>
    <w:p w14:paraId="4C27B59F" w14:textId="77777777" w:rsidR="006358C6" w:rsidRPr="00555D65" w:rsidRDefault="006358C6" w:rsidP="006358C6">
      <w:pPr>
        <w:spacing w:after="0" w:line="240" w:lineRule="auto"/>
        <w:ind w:left="284" w:hanging="284"/>
        <w:jc w:val="both"/>
        <w:rPr>
          <w:rFonts w:ascii="Times New Roman" w:hAnsi="Times New Roman" w:cs="Times New Roman"/>
          <w:sz w:val="20"/>
          <w:szCs w:val="20"/>
          <w:lang w:val="en-US"/>
        </w:rPr>
      </w:pPr>
      <w:r w:rsidRPr="00555D65">
        <w:rPr>
          <w:rFonts w:ascii="Times New Roman" w:hAnsi="Times New Roman" w:cs="Times New Roman"/>
          <w:sz w:val="20"/>
          <w:szCs w:val="20"/>
        </w:rPr>
        <w:t xml:space="preserve">Kurt, A. C. (2018). How do financial constraints relate to financial reporting quality? Evidence from seasoned equity offerings. </w:t>
      </w:r>
      <w:r w:rsidRPr="00555D65">
        <w:rPr>
          <w:rFonts w:ascii="Times New Roman" w:hAnsi="Times New Roman" w:cs="Times New Roman"/>
          <w:i/>
          <w:iCs/>
          <w:sz w:val="20"/>
          <w:szCs w:val="20"/>
        </w:rPr>
        <w:t>European Accounting Review</w:t>
      </w:r>
      <w:r w:rsidRPr="00555D65">
        <w:rPr>
          <w:rFonts w:ascii="Times New Roman" w:hAnsi="Times New Roman" w:cs="Times New Roman"/>
          <w:sz w:val="20"/>
          <w:szCs w:val="20"/>
        </w:rPr>
        <w:t xml:space="preserve">, </w:t>
      </w:r>
      <w:r w:rsidRPr="00555D65">
        <w:rPr>
          <w:rFonts w:ascii="Times New Roman" w:hAnsi="Times New Roman" w:cs="Times New Roman"/>
          <w:i/>
          <w:iCs/>
          <w:sz w:val="20"/>
          <w:szCs w:val="20"/>
        </w:rPr>
        <w:t>27</w:t>
      </w:r>
      <w:r w:rsidRPr="00555D65">
        <w:rPr>
          <w:rFonts w:ascii="Times New Roman" w:hAnsi="Times New Roman" w:cs="Times New Roman"/>
          <w:sz w:val="20"/>
          <w:szCs w:val="20"/>
        </w:rPr>
        <w:t>(3), 527-557.</w:t>
      </w:r>
    </w:p>
    <w:p w14:paraId="3C10DA34" w14:textId="77777777" w:rsidR="007D3ED8" w:rsidRPr="001578CB" w:rsidRDefault="006358C6" w:rsidP="006358C6">
      <w:pPr>
        <w:spacing w:after="0" w:line="240" w:lineRule="auto"/>
        <w:ind w:left="284" w:hanging="284"/>
        <w:jc w:val="both"/>
        <w:rPr>
          <w:rFonts w:ascii="Times New Roman" w:hAnsi="Times New Roman" w:cs="Times New Roman"/>
          <w:color w:val="222222"/>
          <w:sz w:val="20"/>
          <w:szCs w:val="20"/>
          <w:shd w:val="clear" w:color="auto" w:fill="FFFFFF"/>
        </w:rPr>
      </w:pPr>
      <w:r w:rsidRPr="00555D65">
        <w:rPr>
          <w:rFonts w:ascii="Times New Roman" w:hAnsi="Times New Roman" w:cs="Times New Roman"/>
          <w:sz w:val="20"/>
          <w:szCs w:val="20"/>
          <w:lang w:val="en-US"/>
        </w:rPr>
        <w:t xml:space="preserve">Kutner, M. H., Nachtsheim, C. J., and Neter, J. (2004). </w:t>
      </w:r>
      <w:r w:rsidRPr="00555D65">
        <w:rPr>
          <w:rFonts w:ascii="Times New Roman" w:hAnsi="Times New Roman" w:cs="Times New Roman"/>
          <w:i/>
          <w:iCs/>
          <w:sz w:val="20"/>
          <w:szCs w:val="20"/>
          <w:lang w:val="en-US"/>
        </w:rPr>
        <w:t>Applied Linear Regression Models</w:t>
      </w:r>
      <w:r w:rsidRPr="00555D65">
        <w:rPr>
          <w:rFonts w:ascii="Times New Roman" w:hAnsi="Times New Roman" w:cs="Times New Roman"/>
          <w:sz w:val="20"/>
          <w:szCs w:val="20"/>
          <w:lang w:val="en-US"/>
        </w:rPr>
        <w:t xml:space="preserve"> (6th ed.). New York, NY, McGraw-Hill Irwin.</w:t>
      </w:r>
    </w:p>
    <w:p w14:paraId="2A6F7199" w14:textId="74A76A7A" w:rsidR="006358C6" w:rsidRPr="00555D65" w:rsidRDefault="00120A02" w:rsidP="006358C6">
      <w:pPr>
        <w:spacing w:after="0" w:line="240" w:lineRule="auto"/>
        <w:ind w:left="284" w:hanging="284"/>
        <w:jc w:val="both"/>
        <w:rPr>
          <w:rFonts w:ascii="Times New Roman" w:hAnsi="Times New Roman" w:cs="Times New Roman"/>
          <w:sz w:val="20"/>
          <w:szCs w:val="20"/>
          <w:lang w:val="en-GB"/>
        </w:rPr>
      </w:pPr>
      <w:r w:rsidRPr="00555D65">
        <w:rPr>
          <w:rFonts w:ascii="Times New Roman" w:hAnsi="Times New Roman" w:cs="Times New Roman"/>
          <w:sz w:val="20"/>
          <w:szCs w:val="20"/>
        </w:rPr>
        <w:t xml:space="preserve">Kvaal, E., </w:t>
      </w:r>
      <w:r w:rsidR="00597DA6" w:rsidRPr="00555D65">
        <w:rPr>
          <w:rFonts w:ascii="Times New Roman" w:hAnsi="Times New Roman" w:cs="Times New Roman"/>
          <w:sz w:val="20"/>
          <w:szCs w:val="20"/>
        </w:rPr>
        <w:t>and</w:t>
      </w:r>
      <w:r w:rsidRPr="00555D65">
        <w:rPr>
          <w:rFonts w:ascii="Times New Roman" w:hAnsi="Times New Roman" w:cs="Times New Roman"/>
          <w:sz w:val="20"/>
          <w:szCs w:val="20"/>
        </w:rPr>
        <w:t xml:space="preserve"> Nobes, C. (2010). International differences in IFRS policy choice: a research note.</w:t>
      </w:r>
      <w:r w:rsidR="00092066" w:rsidRPr="00555D65">
        <w:rPr>
          <w:rFonts w:ascii="Times New Roman" w:hAnsi="Times New Roman" w:cs="Times New Roman"/>
          <w:sz w:val="20"/>
          <w:szCs w:val="20"/>
        </w:rPr>
        <w:t xml:space="preserve"> </w:t>
      </w:r>
      <w:r w:rsidR="00092066" w:rsidRPr="00555D65">
        <w:rPr>
          <w:rFonts w:ascii="Times New Roman" w:hAnsi="Times New Roman" w:cs="Times New Roman"/>
          <w:i/>
          <w:iCs/>
          <w:sz w:val="20"/>
          <w:szCs w:val="20"/>
          <w:lang w:val="en-GB"/>
        </w:rPr>
        <w:t>Accounting and Business Research</w:t>
      </w:r>
      <w:r w:rsidR="00092066" w:rsidRPr="00555D65">
        <w:rPr>
          <w:rFonts w:ascii="Times New Roman" w:hAnsi="Times New Roman" w:cs="Times New Roman"/>
          <w:sz w:val="20"/>
          <w:szCs w:val="20"/>
          <w:lang w:val="en-GB"/>
        </w:rPr>
        <w:t xml:space="preserve">, </w:t>
      </w:r>
      <w:r w:rsidR="00092066" w:rsidRPr="001578CB">
        <w:rPr>
          <w:rFonts w:ascii="Times New Roman" w:hAnsi="Times New Roman" w:cs="Times New Roman"/>
          <w:i/>
          <w:iCs/>
          <w:sz w:val="20"/>
          <w:szCs w:val="20"/>
          <w:lang w:val="en-GB"/>
        </w:rPr>
        <w:t>40</w:t>
      </w:r>
      <w:r w:rsidR="00F3134B" w:rsidRPr="00555D65">
        <w:rPr>
          <w:rFonts w:ascii="Times New Roman" w:hAnsi="Times New Roman" w:cs="Times New Roman"/>
          <w:sz w:val="20"/>
          <w:szCs w:val="20"/>
          <w:lang w:val="en-GB"/>
        </w:rPr>
        <w:t>(</w:t>
      </w:r>
      <w:r w:rsidR="00092066" w:rsidRPr="00555D65">
        <w:rPr>
          <w:rFonts w:ascii="Times New Roman" w:hAnsi="Times New Roman" w:cs="Times New Roman"/>
          <w:sz w:val="20"/>
          <w:szCs w:val="20"/>
          <w:lang w:val="en-GB"/>
        </w:rPr>
        <w:t>2</w:t>
      </w:r>
      <w:r w:rsidR="00F3134B" w:rsidRPr="00555D65">
        <w:rPr>
          <w:rFonts w:ascii="Times New Roman" w:hAnsi="Times New Roman" w:cs="Times New Roman"/>
          <w:sz w:val="20"/>
          <w:szCs w:val="20"/>
          <w:lang w:val="en-GB"/>
        </w:rPr>
        <w:t>)</w:t>
      </w:r>
      <w:r w:rsidR="00092066" w:rsidRPr="00555D65">
        <w:rPr>
          <w:rFonts w:ascii="Times New Roman" w:hAnsi="Times New Roman" w:cs="Times New Roman"/>
          <w:sz w:val="20"/>
          <w:szCs w:val="20"/>
          <w:lang w:val="en-GB"/>
        </w:rPr>
        <w:t>, 173-</w:t>
      </w:r>
      <w:r w:rsidR="00F3134B" w:rsidRPr="00555D65">
        <w:rPr>
          <w:rFonts w:ascii="Times New Roman" w:hAnsi="Times New Roman" w:cs="Times New Roman"/>
          <w:sz w:val="20"/>
          <w:szCs w:val="20"/>
          <w:lang w:val="en-GB"/>
        </w:rPr>
        <w:t>1</w:t>
      </w:r>
      <w:r w:rsidR="00092066" w:rsidRPr="00555D65">
        <w:rPr>
          <w:rFonts w:ascii="Times New Roman" w:hAnsi="Times New Roman" w:cs="Times New Roman"/>
          <w:sz w:val="20"/>
          <w:szCs w:val="20"/>
          <w:lang w:val="en-GB"/>
        </w:rPr>
        <w:t>87.</w:t>
      </w:r>
    </w:p>
    <w:p w14:paraId="55ACC2BB" w14:textId="29EAF716" w:rsidR="006D10A9" w:rsidRPr="00555D65" w:rsidRDefault="006D10A9" w:rsidP="001578CB">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555D65">
        <w:rPr>
          <w:rFonts w:ascii="Times New Roman" w:hAnsi="Times New Roman" w:cs="Times New Roman"/>
          <w:sz w:val="20"/>
          <w:szCs w:val="20"/>
          <w:lang w:val="en-GB"/>
        </w:rPr>
        <w:t xml:space="preserve">La Porta, R., Lopez-de-Silanes, F., Shleifer, A., </w:t>
      </w:r>
      <w:r w:rsidR="003956BD" w:rsidRPr="00555D65">
        <w:rPr>
          <w:rFonts w:ascii="Times New Roman" w:hAnsi="Times New Roman" w:cs="Times New Roman"/>
          <w:sz w:val="20"/>
          <w:szCs w:val="20"/>
          <w:lang w:val="en-GB"/>
        </w:rPr>
        <w:t>and</w:t>
      </w:r>
      <w:r w:rsidRPr="00555D65">
        <w:rPr>
          <w:rFonts w:ascii="Times New Roman" w:hAnsi="Times New Roman" w:cs="Times New Roman"/>
          <w:sz w:val="20"/>
          <w:szCs w:val="20"/>
          <w:lang w:val="en-GB"/>
        </w:rPr>
        <w:t xml:space="preserve"> Vishny, R. W. (1998). Law and Finance. </w:t>
      </w:r>
      <w:r w:rsidRPr="00555D65">
        <w:rPr>
          <w:rFonts w:ascii="Times New Roman" w:hAnsi="Times New Roman" w:cs="Times New Roman"/>
          <w:i/>
          <w:iCs/>
          <w:sz w:val="20"/>
          <w:szCs w:val="20"/>
          <w:lang w:val="en-GB"/>
        </w:rPr>
        <w:t>Journal of Political</w:t>
      </w:r>
      <w:r w:rsidR="00A34387" w:rsidRPr="00555D65">
        <w:rPr>
          <w:rFonts w:ascii="Times New Roman" w:hAnsi="Times New Roman" w:cs="Times New Roman"/>
          <w:i/>
          <w:iCs/>
          <w:sz w:val="20"/>
          <w:szCs w:val="20"/>
          <w:lang w:val="en-GB"/>
        </w:rPr>
        <w:t xml:space="preserve"> </w:t>
      </w:r>
      <w:r w:rsidRPr="00555D65">
        <w:rPr>
          <w:rFonts w:ascii="Times New Roman" w:hAnsi="Times New Roman" w:cs="Times New Roman"/>
          <w:i/>
          <w:iCs/>
          <w:sz w:val="20"/>
          <w:szCs w:val="20"/>
          <w:lang w:val="en-GB"/>
        </w:rPr>
        <w:t>Economy</w:t>
      </w:r>
      <w:r w:rsidRPr="00555D65">
        <w:rPr>
          <w:rFonts w:ascii="Times New Roman" w:hAnsi="Times New Roman" w:cs="Times New Roman"/>
          <w:sz w:val="20"/>
          <w:szCs w:val="20"/>
          <w:lang w:val="en-GB"/>
        </w:rPr>
        <w:t xml:space="preserve">, </w:t>
      </w:r>
      <w:r w:rsidRPr="00555D65">
        <w:rPr>
          <w:rFonts w:ascii="Times New Roman" w:hAnsi="Times New Roman" w:cs="Times New Roman"/>
          <w:i/>
          <w:iCs/>
          <w:sz w:val="20"/>
          <w:szCs w:val="20"/>
          <w:lang w:val="en-GB"/>
        </w:rPr>
        <w:t>106</w:t>
      </w:r>
      <w:r w:rsidRPr="00555D65">
        <w:rPr>
          <w:rFonts w:ascii="Times New Roman" w:hAnsi="Times New Roman" w:cs="Times New Roman"/>
          <w:sz w:val="20"/>
          <w:szCs w:val="20"/>
          <w:lang w:val="en-GB"/>
        </w:rPr>
        <w:t>(6), 1113-1155.</w:t>
      </w:r>
    </w:p>
    <w:p w14:paraId="2DB61D6D" w14:textId="567C3784" w:rsidR="009C3ABD" w:rsidRPr="00555D65" w:rsidRDefault="009C3ABD">
      <w:pPr>
        <w:autoSpaceDE w:val="0"/>
        <w:autoSpaceDN w:val="0"/>
        <w:adjustRightInd w:val="0"/>
        <w:spacing w:after="0" w:line="240" w:lineRule="auto"/>
        <w:ind w:left="284" w:hanging="284"/>
        <w:jc w:val="both"/>
        <w:rPr>
          <w:rFonts w:ascii="Times New Roman" w:hAnsi="Times New Roman" w:cs="Times New Roman"/>
          <w:sz w:val="20"/>
          <w:szCs w:val="20"/>
        </w:rPr>
      </w:pPr>
      <w:r w:rsidRPr="001578CB">
        <w:rPr>
          <w:rFonts w:ascii="Times New Roman" w:hAnsi="Times New Roman" w:cs="Times New Roman"/>
          <w:sz w:val="20"/>
          <w:szCs w:val="20"/>
        </w:rPr>
        <w:t xml:space="preserve">La Porta, R., Lopez‐de‐Silanes, F., </w:t>
      </w:r>
      <w:r w:rsidR="003956BD" w:rsidRPr="00555D65">
        <w:rPr>
          <w:rFonts w:ascii="Times New Roman" w:hAnsi="Times New Roman" w:cs="Times New Roman"/>
          <w:sz w:val="20"/>
          <w:szCs w:val="20"/>
        </w:rPr>
        <w:t>and</w:t>
      </w:r>
      <w:r w:rsidRPr="001578CB">
        <w:rPr>
          <w:rFonts w:ascii="Times New Roman" w:hAnsi="Times New Roman" w:cs="Times New Roman"/>
          <w:sz w:val="20"/>
          <w:szCs w:val="20"/>
        </w:rPr>
        <w:t xml:space="preserve"> Shleifer, A. (2006). What works in securities laws?. </w:t>
      </w:r>
      <w:r w:rsidRPr="00555D65">
        <w:rPr>
          <w:rFonts w:ascii="Times New Roman" w:hAnsi="Times New Roman" w:cs="Times New Roman"/>
          <w:i/>
          <w:iCs/>
          <w:sz w:val="20"/>
          <w:szCs w:val="20"/>
        </w:rPr>
        <w:t>The Journal of Finance</w:t>
      </w:r>
      <w:r w:rsidRPr="001578CB">
        <w:rPr>
          <w:rFonts w:ascii="Times New Roman" w:hAnsi="Times New Roman" w:cs="Times New Roman"/>
          <w:sz w:val="20"/>
          <w:szCs w:val="20"/>
        </w:rPr>
        <w:t>,</w:t>
      </w:r>
      <w:r w:rsidRPr="00555D65">
        <w:rPr>
          <w:rFonts w:ascii="Times New Roman" w:hAnsi="Times New Roman" w:cs="Times New Roman"/>
          <w:i/>
          <w:iCs/>
          <w:sz w:val="20"/>
          <w:szCs w:val="20"/>
        </w:rPr>
        <w:t xml:space="preserve"> 61</w:t>
      </w:r>
      <w:r w:rsidRPr="001578CB">
        <w:rPr>
          <w:rFonts w:ascii="Times New Roman" w:hAnsi="Times New Roman" w:cs="Times New Roman"/>
          <w:sz w:val="20"/>
          <w:szCs w:val="20"/>
        </w:rPr>
        <w:t>(1), 1-32.</w:t>
      </w:r>
    </w:p>
    <w:p w14:paraId="766AB49E" w14:textId="607AA494" w:rsidR="00163B43" w:rsidRPr="001578CB" w:rsidRDefault="00163B43" w:rsidP="001578CB">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555D65">
        <w:rPr>
          <w:rFonts w:ascii="Times New Roman" w:hAnsi="Times New Roman" w:cs="Times New Roman"/>
          <w:sz w:val="20"/>
          <w:szCs w:val="20"/>
          <w:lang w:val="en-GB"/>
        </w:rPr>
        <w:lastRenderedPageBreak/>
        <w:t xml:space="preserve">Larcker, D. F., </w:t>
      </w:r>
      <w:r w:rsidR="00E72897" w:rsidRPr="00555D65">
        <w:rPr>
          <w:rFonts w:ascii="Times New Roman" w:hAnsi="Times New Roman" w:cs="Times New Roman"/>
          <w:sz w:val="20"/>
          <w:szCs w:val="20"/>
          <w:lang w:val="en-GB"/>
        </w:rPr>
        <w:t>and</w:t>
      </w:r>
      <w:r w:rsidRPr="00555D65">
        <w:rPr>
          <w:rFonts w:ascii="Times New Roman" w:hAnsi="Times New Roman" w:cs="Times New Roman"/>
          <w:sz w:val="20"/>
          <w:szCs w:val="20"/>
          <w:lang w:val="en-GB"/>
        </w:rPr>
        <w:t xml:space="preserve"> Rusticus, T. O. (2010). On the use of instrumental variables in accounting research. </w:t>
      </w:r>
      <w:r w:rsidRPr="001578CB">
        <w:rPr>
          <w:rFonts w:ascii="Times New Roman" w:hAnsi="Times New Roman" w:cs="Times New Roman"/>
          <w:i/>
          <w:iCs/>
          <w:sz w:val="20"/>
          <w:szCs w:val="20"/>
          <w:lang w:val="en-GB"/>
        </w:rPr>
        <w:t>Journal of Accounting and Economics</w:t>
      </w:r>
      <w:r w:rsidRPr="00555D65">
        <w:rPr>
          <w:rFonts w:ascii="Times New Roman" w:hAnsi="Times New Roman" w:cs="Times New Roman"/>
          <w:sz w:val="20"/>
          <w:szCs w:val="20"/>
          <w:lang w:val="en-GB"/>
        </w:rPr>
        <w:t xml:space="preserve">, </w:t>
      </w:r>
      <w:r w:rsidRPr="001578CB">
        <w:rPr>
          <w:rFonts w:ascii="Times New Roman" w:hAnsi="Times New Roman" w:cs="Times New Roman"/>
          <w:i/>
          <w:iCs/>
          <w:sz w:val="20"/>
          <w:szCs w:val="20"/>
          <w:lang w:val="en-GB"/>
        </w:rPr>
        <w:t>49</w:t>
      </w:r>
      <w:r w:rsidRPr="00555D65">
        <w:rPr>
          <w:rFonts w:ascii="Times New Roman" w:hAnsi="Times New Roman" w:cs="Times New Roman"/>
          <w:sz w:val="20"/>
          <w:szCs w:val="20"/>
          <w:lang w:val="en-GB"/>
        </w:rPr>
        <w:t>(3), 186-205.</w:t>
      </w:r>
    </w:p>
    <w:p w14:paraId="342F372F" w14:textId="2A20F61B"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sz w:val="20"/>
          <w:szCs w:val="20"/>
          <w:shd w:val="clear" w:color="auto" w:fill="FFFFFF"/>
        </w:rPr>
        <w:t xml:space="preserve">Lee, G., </w:t>
      </w:r>
      <w:r w:rsidR="00597DA6" w:rsidRPr="00555D65">
        <w:rPr>
          <w:rFonts w:cs="Times New Roman"/>
          <w:sz w:val="20"/>
          <w:szCs w:val="20"/>
          <w:shd w:val="clear" w:color="auto" w:fill="FFFFFF"/>
        </w:rPr>
        <w:t>and</w:t>
      </w:r>
      <w:r w:rsidRPr="00555D65">
        <w:rPr>
          <w:rFonts w:cs="Times New Roman"/>
          <w:sz w:val="20"/>
          <w:szCs w:val="20"/>
          <w:shd w:val="clear" w:color="auto" w:fill="FFFFFF"/>
        </w:rPr>
        <w:t xml:space="preserve"> Masulis, R. W. (2009). Seasoned equity offerings: Quality of accounting information and expected flotation costs.</w:t>
      </w:r>
      <w:r w:rsidR="00C2579F" w:rsidRPr="00555D65">
        <w:rPr>
          <w:rFonts w:cs="Times New Roman"/>
          <w:sz w:val="20"/>
          <w:szCs w:val="20"/>
          <w:shd w:val="clear" w:color="auto" w:fill="FFFFFF"/>
        </w:rPr>
        <w:t xml:space="preserve"> </w:t>
      </w:r>
      <w:r w:rsidRPr="00555D65">
        <w:rPr>
          <w:rFonts w:cs="Times New Roman"/>
          <w:i/>
          <w:iCs/>
          <w:sz w:val="20"/>
          <w:szCs w:val="20"/>
          <w:shd w:val="clear" w:color="auto" w:fill="FFFFFF"/>
        </w:rPr>
        <w:t>Journal of Financial Economics</w:t>
      </w:r>
      <w:r w:rsidRPr="00555D65">
        <w:rPr>
          <w:rFonts w:cs="Times New Roman"/>
          <w:sz w:val="20"/>
          <w:szCs w:val="20"/>
          <w:shd w:val="clear" w:color="auto" w:fill="FFFFFF"/>
        </w:rPr>
        <w:t>,</w:t>
      </w:r>
      <w:r w:rsidR="00333D1D" w:rsidRPr="00555D65">
        <w:rPr>
          <w:rFonts w:cs="Times New Roman"/>
          <w:sz w:val="20"/>
          <w:szCs w:val="20"/>
          <w:shd w:val="clear" w:color="auto" w:fill="FFFFFF"/>
        </w:rPr>
        <w:t xml:space="preserve"> </w:t>
      </w:r>
      <w:r w:rsidRPr="00555D65">
        <w:rPr>
          <w:rFonts w:cs="Times New Roman"/>
          <w:i/>
          <w:iCs/>
          <w:sz w:val="20"/>
          <w:szCs w:val="20"/>
          <w:shd w:val="clear" w:color="auto" w:fill="FFFFFF"/>
        </w:rPr>
        <w:t>92</w:t>
      </w:r>
      <w:r w:rsidRPr="00555D65">
        <w:rPr>
          <w:rFonts w:cs="Times New Roman"/>
          <w:sz w:val="20"/>
          <w:szCs w:val="20"/>
          <w:shd w:val="clear" w:color="auto" w:fill="FFFFFF"/>
        </w:rPr>
        <w:t>(3), 443-469.</w:t>
      </w:r>
    </w:p>
    <w:p w14:paraId="43D1FB77" w14:textId="63326A79" w:rsidR="006358C6" w:rsidRPr="00555D65" w:rsidRDefault="006358C6" w:rsidP="006358C6">
      <w:pPr>
        <w:pStyle w:val="EndNoteBibliography"/>
        <w:spacing w:before="0" w:after="0"/>
        <w:ind w:left="284" w:right="57" w:hanging="284"/>
        <w:rPr>
          <w:sz w:val="20"/>
          <w:szCs w:val="20"/>
        </w:rPr>
      </w:pPr>
      <w:r w:rsidRPr="00555D65">
        <w:rPr>
          <w:sz w:val="20"/>
          <w:szCs w:val="20"/>
          <w:lang w:val="en-NZ"/>
        </w:rPr>
        <w:t xml:space="preserve">Lobo, G. J., </w:t>
      </w:r>
      <w:r w:rsidR="00597DA6" w:rsidRPr="00555D65">
        <w:rPr>
          <w:sz w:val="20"/>
          <w:szCs w:val="20"/>
          <w:lang w:val="en-NZ"/>
        </w:rPr>
        <w:t>and</w:t>
      </w:r>
      <w:r w:rsidRPr="00555D65">
        <w:rPr>
          <w:sz w:val="20"/>
          <w:szCs w:val="20"/>
          <w:lang w:val="en-NZ"/>
        </w:rPr>
        <w:t xml:space="preserve"> Zhou, J. (2006). Did conservatism in financial reporting increase after the Sarbanes-Oxley Act? Initial evidence. </w:t>
      </w:r>
      <w:r w:rsidRPr="00555D65">
        <w:rPr>
          <w:i/>
          <w:iCs/>
          <w:sz w:val="20"/>
          <w:szCs w:val="20"/>
          <w:lang w:val="en-NZ"/>
        </w:rPr>
        <w:t>Accounting Horizons,</w:t>
      </w:r>
      <w:r w:rsidRPr="00555D65">
        <w:rPr>
          <w:sz w:val="20"/>
          <w:szCs w:val="20"/>
          <w:lang w:val="en-NZ"/>
        </w:rPr>
        <w:t xml:space="preserve"> </w:t>
      </w:r>
      <w:r w:rsidRPr="00555D65">
        <w:rPr>
          <w:i/>
          <w:iCs/>
          <w:sz w:val="20"/>
          <w:szCs w:val="20"/>
          <w:lang w:val="en-NZ"/>
        </w:rPr>
        <w:t>20</w:t>
      </w:r>
      <w:r w:rsidRPr="00555D65">
        <w:rPr>
          <w:sz w:val="20"/>
          <w:szCs w:val="20"/>
          <w:lang w:val="en-NZ"/>
        </w:rPr>
        <w:t>(1), 57-73.</w:t>
      </w:r>
    </w:p>
    <w:p w14:paraId="69A8CAF6" w14:textId="202B92C7"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Loughran, T., </w:t>
      </w:r>
      <w:r w:rsidR="00597DA6" w:rsidRPr="00555D65">
        <w:rPr>
          <w:sz w:val="20"/>
          <w:szCs w:val="20"/>
        </w:rPr>
        <w:t>and</w:t>
      </w:r>
      <w:r w:rsidRPr="00555D65">
        <w:rPr>
          <w:sz w:val="20"/>
          <w:szCs w:val="20"/>
        </w:rPr>
        <w:t xml:space="preserve"> Ritter, J. R. (1995). The new issues puzzle. </w:t>
      </w:r>
      <w:r w:rsidRPr="00555D65">
        <w:rPr>
          <w:i/>
          <w:iCs/>
          <w:sz w:val="20"/>
          <w:szCs w:val="20"/>
        </w:rPr>
        <w:t xml:space="preserve">The </w:t>
      </w:r>
      <w:r w:rsidRPr="00555D65">
        <w:rPr>
          <w:i/>
          <w:sz w:val="20"/>
          <w:szCs w:val="20"/>
        </w:rPr>
        <w:t>Journal of Finance, 50</w:t>
      </w:r>
      <w:r w:rsidRPr="00555D65">
        <w:rPr>
          <w:sz w:val="20"/>
          <w:szCs w:val="20"/>
        </w:rPr>
        <w:t>(1), 23-51.</w:t>
      </w:r>
    </w:p>
    <w:p w14:paraId="0B7F2B31" w14:textId="42AAA892"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Loughran, T., </w:t>
      </w:r>
      <w:r w:rsidR="00597DA6" w:rsidRPr="00555D65">
        <w:rPr>
          <w:sz w:val="20"/>
          <w:szCs w:val="20"/>
        </w:rPr>
        <w:t>and</w:t>
      </w:r>
      <w:r w:rsidRPr="00555D65">
        <w:rPr>
          <w:sz w:val="20"/>
          <w:szCs w:val="20"/>
        </w:rPr>
        <w:t xml:space="preserve"> Ritter, J. R. (1997). The operating performance of firms conducting seasoned equity offerings. </w:t>
      </w:r>
      <w:r w:rsidRPr="00555D65">
        <w:rPr>
          <w:i/>
          <w:iCs/>
          <w:sz w:val="20"/>
          <w:szCs w:val="20"/>
        </w:rPr>
        <w:t xml:space="preserve">The </w:t>
      </w:r>
      <w:r w:rsidRPr="00555D65">
        <w:rPr>
          <w:i/>
          <w:sz w:val="20"/>
          <w:szCs w:val="20"/>
        </w:rPr>
        <w:t>Journal of Finance, 52</w:t>
      </w:r>
      <w:r w:rsidRPr="00555D65">
        <w:rPr>
          <w:sz w:val="20"/>
          <w:szCs w:val="20"/>
        </w:rPr>
        <w:t>(5), 1823-1850.</w:t>
      </w:r>
    </w:p>
    <w:p w14:paraId="6F802F51" w14:textId="2811BF6F" w:rsidR="00E60BBC" w:rsidRPr="00555D65" w:rsidRDefault="00E60BBC" w:rsidP="006358C6">
      <w:pPr>
        <w:pStyle w:val="EndNoteBibliography"/>
        <w:spacing w:before="0" w:after="0"/>
        <w:ind w:left="284" w:right="57" w:hanging="284"/>
        <w:rPr>
          <w:sz w:val="20"/>
          <w:szCs w:val="20"/>
        </w:rPr>
      </w:pPr>
      <w:r w:rsidRPr="00555D65">
        <w:rPr>
          <w:color w:val="222222"/>
          <w:sz w:val="20"/>
          <w:szCs w:val="20"/>
          <w:shd w:val="clear" w:color="auto" w:fill="FFFFFF"/>
        </w:rPr>
        <w:t xml:space="preserve">McLaughlin, R., Safieddine, A., </w:t>
      </w:r>
      <w:r w:rsidR="00597DA6" w:rsidRPr="00555D65">
        <w:rPr>
          <w:color w:val="222222"/>
          <w:sz w:val="20"/>
          <w:szCs w:val="20"/>
          <w:shd w:val="clear" w:color="auto" w:fill="FFFFFF"/>
        </w:rPr>
        <w:t>and</w:t>
      </w:r>
      <w:r w:rsidRPr="00555D65">
        <w:rPr>
          <w:color w:val="222222"/>
          <w:sz w:val="20"/>
          <w:szCs w:val="20"/>
          <w:shd w:val="clear" w:color="auto" w:fill="FFFFFF"/>
        </w:rPr>
        <w:t xml:space="preserve"> Vasudevan, G. K. (1996). The operating performance of seasoned equity issuers: Free cash flow and post-issue performance.</w:t>
      </w:r>
      <w:r w:rsidR="00333D1D" w:rsidRPr="00555D65">
        <w:rPr>
          <w:color w:val="222222"/>
          <w:sz w:val="20"/>
          <w:szCs w:val="20"/>
          <w:shd w:val="clear" w:color="auto" w:fill="FFFFFF"/>
        </w:rPr>
        <w:t xml:space="preserve"> </w:t>
      </w:r>
      <w:r w:rsidRPr="00555D65">
        <w:rPr>
          <w:i/>
          <w:iCs/>
          <w:color w:val="222222"/>
          <w:sz w:val="20"/>
          <w:szCs w:val="20"/>
          <w:shd w:val="clear" w:color="auto" w:fill="FFFFFF"/>
        </w:rPr>
        <w:t>Financial Management</w:t>
      </w:r>
      <w:r w:rsidRPr="00555D65">
        <w:rPr>
          <w:color w:val="222222"/>
          <w:sz w:val="20"/>
          <w:szCs w:val="20"/>
          <w:shd w:val="clear" w:color="auto" w:fill="FFFFFF"/>
        </w:rPr>
        <w:t>, 41-53.</w:t>
      </w:r>
    </w:p>
    <w:p w14:paraId="28A8B8E4" w14:textId="4BE9C95C"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Neter, J., Kutner, M. H., Nachtsheim, C. J., </w:t>
      </w:r>
      <w:r w:rsidR="00597DA6" w:rsidRPr="00555D65">
        <w:rPr>
          <w:sz w:val="20"/>
          <w:szCs w:val="20"/>
        </w:rPr>
        <w:t>and</w:t>
      </w:r>
      <w:r w:rsidRPr="00555D65">
        <w:rPr>
          <w:sz w:val="20"/>
          <w:szCs w:val="20"/>
        </w:rPr>
        <w:t xml:space="preserve"> Wasserman, W. (1996). </w:t>
      </w:r>
      <w:r w:rsidRPr="00555D65">
        <w:rPr>
          <w:i/>
          <w:iCs/>
          <w:sz w:val="20"/>
          <w:szCs w:val="20"/>
        </w:rPr>
        <w:t>Applied Linear Statistical Models</w:t>
      </w:r>
      <w:r w:rsidRPr="00555D65">
        <w:rPr>
          <w:sz w:val="20"/>
          <w:szCs w:val="20"/>
        </w:rPr>
        <w:t xml:space="preserve"> (4th ed.). Burr Ridge, IL: Richard D. Irwin, Inc</w:t>
      </w:r>
      <w:r w:rsidR="00BD3BE5" w:rsidRPr="00555D65">
        <w:rPr>
          <w:sz w:val="20"/>
          <w:szCs w:val="20"/>
        </w:rPr>
        <w:t>.</w:t>
      </w:r>
    </w:p>
    <w:p w14:paraId="1F16CD04" w14:textId="1185E387" w:rsidR="00F5472B" w:rsidRPr="00555D65" w:rsidRDefault="00F5472B" w:rsidP="006358C6">
      <w:pPr>
        <w:pStyle w:val="EndNoteBibliography"/>
        <w:spacing w:before="0" w:after="0"/>
        <w:ind w:left="284" w:right="57" w:hanging="284"/>
        <w:rPr>
          <w:sz w:val="20"/>
          <w:szCs w:val="20"/>
        </w:rPr>
      </w:pPr>
      <w:r w:rsidRPr="00555D65">
        <w:rPr>
          <w:sz w:val="20"/>
          <w:szCs w:val="20"/>
          <w:lang w:val="en-NZ"/>
        </w:rPr>
        <w:t xml:space="preserve">Neuhauser, K. L. (2015). The global financial crisis: what have we learned so far?. </w:t>
      </w:r>
      <w:r w:rsidRPr="00555D65">
        <w:rPr>
          <w:i/>
          <w:iCs/>
          <w:sz w:val="20"/>
          <w:szCs w:val="20"/>
          <w:lang w:val="en-NZ"/>
        </w:rPr>
        <w:t>International Journal of Managerial Finance</w:t>
      </w:r>
      <w:r w:rsidRPr="00555D65">
        <w:rPr>
          <w:sz w:val="20"/>
          <w:szCs w:val="20"/>
          <w:lang w:val="en-NZ"/>
        </w:rPr>
        <w:t>.</w:t>
      </w:r>
      <w:r w:rsidR="00CF16E2" w:rsidRPr="00555D65">
        <w:rPr>
          <w:sz w:val="20"/>
          <w:szCs w:val="20"/>
          <w:lang w:val="en-NZ"/>
        </w:rPr>
        <w:t xml:space="preserve"> </w:t>
      </w:r>
      <w:r w:rsidR="00CF16E2" w:rsidRPr="001578CB">
        <w:rPr>
          <w:i/>
          <w:iCs/>
          <w:sz w:val="20"/>
          <w:szCs w:val="20"/>
          <w:lang w:val="en-NZ"/>
        </w:rPr>
        <w:t>11</w:t>
      </w:r>
      <w:r w:rsidR="00CF16E2" w:rsidRPr="00555D65">
        <w:rPr>
          <w:sz w:val="20"/>
          <w:szCs w:val="20"/>
          <w:lang w:val="en-NZ"/>
        </w:rPr>
        <w:t>(2), 134-161.</w:t>
      </w:r>
    </w:p>
    <w:p w14:paraId="6BC9BE3E" w14:textId="62DEA590" w:rsidR="006358C6" w:rsidRPr="00555D65" w:rsidRDefault="006358C6" w:rsidP="006358C6">
      <w:pPr>
        <w:pStyle w:val="EndNoteBibliography"/>
        <w:spacing w:before="0" w:after="0"/>
        <w:ind w:left="284" w:right="57" w:hanging="284"/>
        <w:rPr>
          <w:sz w:val="20"/>
          <w:szCs w:val="20"/>
          <w:lang w:val="en-NZ"/>
        </w:rPr>
      </w:pPr>
      <w:r w:rsidRPr="00555D65">
        <w:rPr>
          <w:sz w:val="20"/>
          <w:szCs w:val="20"/>
          <w:lang w:val="en-NZ"/>
        </w:rPr>
        <w:t xml:space="preserve">Opare, S., Houqe, M. N., </w:t>
      </w:r>
      <w:r w:rsidR="00597DA6" w:rsidRPr="00555D65">
        <w:rPr>
          <w:sz w:val="20"/>
          <w:szCs w:val="20"/>
          <w:lang w:val="en-NZ"/>
        </w:rPr>
        <w:t>and</w:t>
      </w:r>
      <w:r w:rsidRPr="00555D65">
        <w:rPr>
          <w:sz w:val="20"/>
          <w:szCs w:val="20"/>
          <w:lang w:val="en-NZ"/>
        </w:rPr>
        <w:t xml:space="preserve"> van Zijl, T. (2020). IFRS adoption and seasoned equity offering underperformance. </w:t>
      </w:r>
      <w:r w:rsidRPr="00555D65">
        <w:rPr>
          <w:i/>
          <w:iCs/>
          <w:sz w:val="20"/>
          <w:szCs w:val="20"/>
          <w:lang w:val="en-NZ"/>
        </w:rPr>
        <w:t>Pacific-Basin Finance Journal</w:t>
      </w:r>
      <w:r w:rsidRPr="00555D65">
        <w:rPr>
          <w:sz w:val="20"/>
          <w:szCs w:val="20"/>
          <w:lang w:val="en-NZ"/>
        </w:rPr>
        <w:t xml:space="preserve">, </w:t>
      </w:r>
      <w:r w:rsidRPr="00555D65">
        <w:rPr>
          <w:i/>
          <w:iCs/>
          <w:sz w:val="20"/>
          <w:szCs w:val="20"/>
          <w:lang w:val="en-NZ"/>
        </w:rPr>
        <w:t>61</w:t>
      </w:r>
      <w:r w:rsidRPr="00555D65">
        <w:rPr>
          <w:sz w:val="20"/>
          <w:szCs w:val="20"/>
          <w:lang w:val="en-NZ"/>
        </w:rPr>
        <w:t>, 101289.</w:t>
      </w:r>
    </w:p>
    <w:p w14:paraId="3594524D" w14:textId="77777777" w:rsidR="006358C6" w:rsidRPr="00555D65" w:rsidRDefault="006358C6" w:rsidP="006358C6">
      <w:pPr>
        <w:pStyle w:val="EndNoteBibliography"/>
        <w:spacing w:before="0" w:after="0"/>
        <w:ind w:left="284" w:right="57" w:hanging="284"/>
        <w:rPr>
          <w:sz w:val="20"/>
          <w:szCs w:val="20"/>
          <w:lang w:val="en-NZ"/>
        </w:rPr>
      </w:pPr>
      <w:r w:rsidRPr="00555D65">
        <w:rPr>
          <w:sz w:val="20"/>
          <w:szCs w:val="20"/>
          <w:lang w:val="en-NZ"/>
        </w:rPr>
        <w:t xml:space="preserve">Pandes, J. A. (2010). Bought deals: The value of underwriter certification in seasoned equity offerings. </w:t>
      </w:r>
      <w:r w:rsidRPr="00555D65">
        <w:rPr>
          <w:i/>
          <w:iCs/>
          <w:sz w:val="20"/>
          <w:szCs w:val="20"/>
          <w:lang w:val="en-NZ"/>
        </w:rPr>
        <w:t>Journal of Banking and Finance,</w:t>
      </w:r>
      <w:r w:rsidRPr="00555D65">
        <w:rPr>
          <w:sz w:val="20"/>
          <w:szCs w:val="20"/>
          <w:lang w:val="en-NZ"/>
        </w:rPr>
        <w:t xml:space="preserve"> </w:t>
      </w:r>
      <w:r w:rsidRPr="00555D65">
        <w:rPr>
          <w:i/>
          <w:iCs/>
          <w:sz w:val="20"/>
          <w:szCs w:val="20"/>
          <w:lang w:val="en-NZ"/>
        </w:rPr>
        <w:t>34</w:t>
      </w:r>
      <w:r w:rsidRPr="00555D65">
        <w:rPr>
          <w:sz w:val="20"/>
          <w:szCs w:val="20"/>
          <w:lang w:val="en-NZ"/>
        </w:rPr>
        <w:t>(7), 1576-1589.</w:t>
      </w:r>
    </w:p>
    <w:p w14:paraId="16261E87" w14:textId="77777777"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Rangan, S. (1998). Earnings management and the performance of seasoned equity offerings. </w:t>
      </w:r>
      <w:r w:rsidRPr="00555D65">
        <w:rPr>
          <w:i/>
          <w:sz w:val="20"/>
          <w:szCs w:val="20"/>
        </w:rPr>
        <w:t>Journal of Financial Economics, 50</w:t>
      </w:r>
      <w:r w:rsidRPr="00555D65">
        <w:rPr>
          <w:sz w:val="20"/>
          <w:szCs w:val="20"/>
        </w:rPr>
        <w:t>(1), 101-122.</w:t>
      </w:r>
    </w:p>
    <w:p w14:paraId="4F6DF09E" w14:textId="77777777" w:rsidR="006358C6" w:rsidRPr="00555D65" w:rsidRDefault="006358C6" w:rsidP="006358C6">
      <w:pPr>
        <w:pStyle w:val="Bibliography"/>
        <w:spacing w:before="0" w:after="0" w:line="240" w:lineRule="auto"/>
        <w:ind w:left="284" w:right="57" w:hanging="284"/>
        <w:rPr>
          <w:rFonts w:cs="Times New Roman"/>
          <w:noProof/>
          <w:sz w:val="20"/>
          <w:szCs w:val="20"/>
          <w:lang w:val="en-US"/>
        </w:rPr>
      </w:pPr>
      <w:r w:rsidRPr="00555D65">
        <w:rPr>
          <w:rFonts w:cs="Times New Roman"/>
          <w:noProof/>
          <w:sz w:val="20"/>
          <w:szCs w:val="20"/>
          <w:lang w:val="en-US"/>
        </w:rPr>
        <w:t xml:space="preserve">Roychowdhury, S. (2006). Earnings management through real activities manipulation. </w:t>
      </w:r>
      <w:r w:rsidRPr="00555D65">
        <w:rPr>
          <w:rFonts w:cs="Times New Roman"/>
          <w:i/>
          <w:iCs/>
          <w:noProof/>
          <w:sz w:val="20"/>
          <w:szCs w:val="20"/>
          <w:lang w:val="en-US"/>
        </w:rPr>
        <w:t>Journal of Accounting and Economics, 42</w:t>
      </w:r>
      <w:r w:rsidRPr="00555D65">
        <w:rPr>
          <w:rFonts w:cs="Times New Roman"/>
          <w:noProof/>
          <w:sz w:val="20"/>
          <w:szCs w:val="20"/>
          <w:lang w:val="en-US"/>
        </w:rPr>
        <w:t>(3), 335-370.</w:t>
      </w:r>
    </w:p>
    <w:p w14:paraId="47B4B37E" w14:textId="77777777"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Shivakumar, L. (2000). Do firms mislead investors by overstating earnings before seasoned equity offerings? </w:t>
      </w:r>
      <w:r w:rsidRPr="00555D65">
        <w:rPr>
          <w:i/>
          <w:sz w:val="20"/>
          <w:szCs w:val="20"/>
        </w:rPr>
        <w:t>Journal of Accounting and Economics, 29</w:t>
      </w:r>
      <w:r w:rsidRPr="00555D65">
        <w:rPr>
          <w:sz w:val="20"/>
          <w:szCs w:val="20"/>
        </w:rPr>
        <w:t>(3), 339-371.</w:t>
      </w:r>
    </w:p>
    <w:p w14:paraId="7A56B74C" w14:textId="128268AC"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Slovin, M. B., Sushka, M. E., </w:t>
      </w:r>
      <w:r w:rsidR="00597DA6" w:rsidRPr="00555D65">
        <w:rPr>
          <w:sz w:val="20"/>
          <w:szCs w:val="20"/>
        </w:rPr>
        <w:t>and</w:t>
      </w:r>
      <w:r w:rsidRPr="00555D65">
        <w:rPr>
          <w:sz w:val="20"/>
          <w:szCs w:val="20"/>
        </w:rPr>
        <w:t xml:space="preserve"> Lai, K. W. (2000). Alternative flotation methods, adverse selection, and ownership structure: Evidence from seasoned equity issuance in the U.K. </w:t>
      </w:r>
      <w:r w:rsidRPr="00555D65">
        <w:rPr>
          <w:i/>
          <w:iCs/>
          <w:sz w:val="20"/>
          <w:szCs w:val="20"/>
        </w:rPr>
        <w:t>Journal of Financial Economics,</w:t>
      </w:r>
      <w:r w:rsidRPr="00555D65">
        <w:rPr>
          <w:sz w:val="20"/>
          <w:szCs w:val="20"/>
        </w:rPr>
        <w:t xml:space="preserve"> </w:t>
      </w:r>
      <w:r w:rsidRPr="00555D65">
        <w:rPr>
          <w:i/>
          <w:iCs/>
          <w:sz w:val="20"/>
          <w:szCs w:val="20"/>
        </w:rPr>
        <w:t>57</w:t>
      </w:r>
      <w:r w:rsidRPr="00555D65">
        <w:rPr>
          <w:sz w:val="20"/>
          <w:szCs w:val="20"/>
        </w:rPr>
        <w:t>(2), 157-190.</w:t>
      </w:r>
    </w:p>
    <w:p w14:paraId="2F29452D" w14:textId="2FF63C6B" w:rsidR="00F65398" w:rsidRPr="00555D65" w:rsidRDefault="00F65398" w:rsidP="006358C6">
      <w:pPr>
        <w:pStyle w:val="EndNoteBibliography"/>
        <w:spacing w:before="0" w:after="0"/>
        <w:ind w:left="284" w:right="57" w:hanging="284"/>
        <w:rPr>
          <w:sz w:val="20"/>
          <w:szCs w:val="20"/>
        </w:rPr>
      </w:pPr>
      <w:r w:rsidRPr="00555D65">
        <w:rPr>
          <w:sz w:val="20"/>
          <w:szCs w:val="20"/>
        </w:rPr>
        <w:t xml:space="preserve">Solon, G., Haider, S. J., </w:t>
      </w:r>
      <w:r w:rsidR="00597DA6" w:rsidRPr="00555D65">
        <w:rPr>
          <w:sz w:val="20"/>
          <w:szCs w:val="20"/>
        </w:rPr>
        <w:t>and</w:t>
      </w:r>
      <w:r w:rsidRPr="00555D65">
        <w:rPr>
          <w:sz w:val="20"/>
          <w:szCs w:val="20"/>
        </w:rPr>
        <w:t xml:space="preserve"> Wooldridge, J. M. (2015). What are we weighting for?.</w:t>
      </w:r>
      <w:r w:rsidR="006867E9" w:rsidRPr="00555D65">
        <w:rPr>
          <w:sz w:val="20"/>
          <w:szCs w:val="20"/>
        </w:rPr>
        <w:t xml:space="preserve"> </w:t>
      </w:r>
      <w:r w:rsidRPr="00555D65">
        <w:rPr>
          <w:i/>
          <w:iCs/>
          <w:sz w:val="20"/>
          <w:szCs w:val="20"/>
        </w:rPr>
        <w:t xml:space="preserve">Journal of Human </w:t>
      </w:r>
      <w:r w:rsidR="006867E9" w:rsidRPr="00555D65">
        <w:rPr>
          <w:i/>
          <w:iCs/>
          <w:sz w:val="20"/>
          <w:szCs w:val="20"/>
        </w:rPr>
        <w:t>R</w:t>
      </w:r>
      <w:r w:rsidRPr="00555D65">
        <w:rPr>
          <w:i/>
          <w:iCs/>
          <w:sz w:val="20"/>
          <w:szCs w:val="20"/>
        </w:rPr>
        <w:t>esources</w:t>
      </w:r>
      <w:r w:rsidRPr="00555D65">
        <w:rPr>
          <w:sz w:val="20"/>
          <w:szCs w:val="20"/>
        </w:rPr>
        <w:t>,</w:t>
      </w:r>
      <w:r w:rsidR="006867E9" w:rsidRPr="00555D65">
        <w:rPr>
          <w:sz w:val="20"/>
          <w:szCs w:val="20"/>
        </w:rPr>
        <w:t xml:space="preserve"> </w:t>
      </w:r>
      <w:r w:rsidRPr="00555D65">
        <w:rPr>
          <w:i/>
          <w:iCs/>
          <w:sz w:val="20"/>
          <w:szCs w:val="20"/>
        </w:rPr>
        <w:t>50</w:t>
      </w:r>
      <w:r w:rsidRPr="00555D65">
        <w:rPr>
          <w:sz w:val="20"/>
          <w:szCs w:val="20"/>
        </w:rPr>
        <w:t>(2), 301-316.</w:t>
      </w:r>
    </w:p>
    <w:p w14:paraId="321E1DEB" w14:textId="76B8EE55" w:rsidR="007C17ED" w:rsidRPr="00555D65" w:rsidRDefault="00803725" w:rsidP="006358C6">
      <w:pPr>
        <w:pStyle w:val="EndNoteBibliography"/>
        <w:spacing w:before="0" w:after="0"/>
        <w:ind w:left="284" w:right="57" w:hanging="284"/>
        <w:rPr>
          <w:sz w:val="20"/>
          <w:szCs w:val="20"/>
        </w:rPr>
      </w:pPr>
      <w:r w:rsidRPr="00555D65">
        <w:rPr>
          <w:sz w:val="20"/>
          <w:szCs w:val="20"/>
        </w:rPr>
        <w:t xml:space="preserve">Stock, J. H., </w:t>
      </w:r>
      <w:r w:rsidR="00680B41" w:rsidRPr="00555D65">
        <w:rPr>
          <w:sz w:val="20"/>
          <w:szCs w:val="20"/>
        </w:rPr>
        <w:t>and</w:t>
      </w:r>
      <w:r w:rsidRPr="00555D65">
        <w:rPr>
          <w:sz w:val="20"/>
          <w:szCs w:val="20"/>
        </w:rPr>
        <w:t xml:space="preserve"> Yogo, M. (2005). Testing for Weak Instruments in Linear IV Regression.</w:t>
      </w:r>
      <w:r w:rsidRPr="001578CB">
        <w:rPr>
          <w:i/>
          <w:iCs/>
          <w:sz w:val="20"/>
          <w:szCs w:val="20"/>
        </w:rPr>
        <w:t xml:space="preserve"> Identification and Inference for Econometric Models: Essays in Honor of Thomas Rothenberg</w:t>
      </w:r>
      <w:r w:rsidRPr="00555D65">
        <w:rPr>
          <w:sz w:val="20"/>
          <w:szCs w:val="20"/>
        </w:rPr>
        <w:t>, 80</w:t>
      </w:r>
      <w:r w:rsidR="0041746E" w:rsidRPr="00555D65">
        <w:rPr>
          <w:sz w:val="20"/>
          <w:szCs w:val="20"/>
        </w:rPr>
        <w:t>-10</w:t>
      </w:r>
      <w:r w:rsidR="007C17ED" w:rsidRPr="00555D65">
        <w:rPr>
          <w:sz w:val="20"/>
          <w:szCs w:val="20"/>
        </w:rPr>
        <w:t>8.</w:t>
      </w:r>
    </w:p>
    <w:p w14:paraId="6BC2C63C" w14:textId="1B378667" w:rsidR="006358C6" w:rsidRPr="00555D65" w:rsidRDefault="006358C6" w:rsidP="006358C6">
      <w:pPr>
        <w:pStyle w:val="EndNoteBibliography"/>
        <w:spacing w:before="0" w:after="0"/>
        <w:ind w:left="284" w:right="57" w:hanging="284"/>
        <w:rPr>
          <w:sz w:val="20"/>
          <w:szCs w:val="20"/>
        </w:rPr>
      </w:pPr>
      <w:r w:rsidRPr="00555D65">
        <w:rPr>
          <w:sz w:val="20"/>
          <w:szCs w:val="20"/>
          <w:lang w:val="en-NZ"/>
        </w:rPr>
        <w:t xml:space="preserve">Summers, S. L., </w:t>
      </w:r>
      <w:r w:rsidR="00597DA6" w:rsidRPr="00555D65">
        <w:rPr>
          <w:sz w:val="20"/>
          <w:szCs w:val="20"/>
          <w:lang w:val="en-NZ"/>
        </w:rPr>
        <w:t>and</w:t>
      </w:r>
      <w:r w:rsidRPr="00555D65">
        <w:rPr>
          <w:sz w:val="20"/>
          <w:szCs w:val="20"/>
          <w:lang w:val="en-NZ"/>
        </w:rPr>
        <w:t xml:space="preserve"> Sweeney, J. T. (1998). Fraudulently misstated financial statements and insider trading: An empirical analysis. </w:t>
      </w:r>
      <w:r w:rsidRPr="00555D65">
        <w:rPr>
          <w:i/>
          <w:sz w:val="20"/>
          <w:szCs w:val="20"/>
          <w:lang w:val="en-NZ"/>
        </w:rPr>
        <w:t>The</w:t>
      </w:r>
      <w:r w:rsidRPr="00555D65">
        <w:rPr>
          <w:sz w:val="20"/>
          <w:szCs w:val="20"/>
          <w:lang w:val="en-NZ"/>
        </w:rPr>
        <w:t xml:space="preserve"> </w:t>
      </w:r>
      <w:r w:rsidRPr="00555D65">
        <w:rPr>
          <w:i/>
          <w:iCs/>
          <w:sz w:val="20"/>
          <w:szCs w:val="20"/>
          <w:lang w:val="en-NZ"/>
        </w:rPr>
        <w:t>Accounting Review,</w:t>
      </w:r>
      <w:r w:rsidRPr="00555D65">
        <w:rPr>
          <w:sz w:val="20"/>
          <w:szCs w:val="20"/>
          <w:lang w:val="en-NZ"/>
        </w:rPr>
        <w:t xml:space="preserve"> </w:t>
      </w:r>
      <w:r w:rsidRPr="00555D65">
        <w:rPr>
          <w:i/>
          <w:iCs/>
          <w:sz w:val="20"/>
          <w:szCs w:val="20"/>
          <w:lang w:val="en-NZ"/>
        </w:rPr>
        <w:t>73</w:t>
      </w:r>
      <w:r w:rsidRPr="00555D65">
        <w:rPr>
          <w:sz w:val="20"/>
          <w:szCs w:val="20"/>
          <w:lang w:val="en-NZ"/>
        </w:rPr>
        <w:t>(1), 131-146.</w:t>
      </w:r>
    </w:p>
    <w:p w14:paraId="2A3BCDBB" w14:textId="3C2BE161" w:rsidR="006358C6" w:rsidRPr="00555D65" w:rsidRDefault="006358C6" w:rsidP="006358C6">
      <w:pPr>
        <w:pStyle w:val="EndNoteBibliography"/>
        <w:spacing w:before="0" w:after="0"/>
        <w:ind w:left="284" w:right="57" w:hanging="284"/>
        <w:rPr>
          <w:sz w:val="20"/>
          <w:szCs w:val="20"/>
        </w:rPr>
      </w:pPr>
      <w:r w:rsidRPr="00555D65">
        <w:rPr>
          <w:sz w:val="20"/>
          <w:szCs w:val="20"/>
        </w:rPr>
        <w:t xml:space="preserve">Teoh, S. H., Welch, I., </w:t>
      </w:r>
      <w:r w:rsidR="00597DA6" w:rsidRPr="00555D65">
        <w:rPr>
          <w:sz w:val="20"/>
          <w:szCs w:val="20"/>
        </w:rPr>
        <w:t>and</w:t>
      </w:r>
      <w:r w:rsidRPr="00555D65">
        <w:rPr>
          <w:sz w:val="20"/>
          <w:szCs w:val="20"/>
        </w:rPr>
        <w:t xml:space="preserve"> Wong, T. J. (1998). Earnings management and the underperformance of seasoned equity offerings. </w:t>
      </w:r>
      <w:r w:rsidRPr="00555D65">
        <w:rPr>
          <w:i/>
          <w:sz w:val="20"/>
          <w:szCs w:val="20"/>
        </w:rPr>
        <w:t>Journal of Financial Economics</w:t>
      </w:r>
      <w:r w:rsidRPr="00555D65">
        <w:rPr>
          <w:i/>
          <w:iCs/>
          <w:sz w:val="20"/>
          <w:szCs w:val="20"/>
        </w:rPr>
        <w:t>,</w:t>
      </w:r>
      <w:r w:rsidRPr="00555D65">
        <w:rPr>
          <w:sz w:val="20"/>
          <w:szCs w:val="20"/>
        </w:rPr>
        <w:t xml:space="preserve"> </w:t>
      </w:r>
      <w:r w:rsidRPr="00555D65">
        <w:rPr>
          <w:i/>
          <w:sz w:val="20"/>
          <w:szCs w:val="20"/>
        </w:rPr>
        <w:t>50</w:t>
      </w:r>
      <w:r w:rsidRPr="00555D65">
        <w:rPr>
          <w:sz w:val="20"/>
          <w:szCs w:val="20"/>
        </w:rPr>
        <w:t>(1), 63-99.</w:t>
      </w:r>
    </w:p>
    <w:p w14:paraId="535041FE" w14:textId="05D2A1A0" w:rsidR="006358C6" w:rsidRPr="00555D65" w:rsidRDefault="006358C6" w:rsidP="001578CB">
      <w:pPr>
        <w:pStyle w:val="EndNoteBibliography"/>
        <w:spacing w:before="0" w:after="0"/>
        <w:ind w:left="284" w:right="57" w:hanging="284"/>
        <w:jc w:val="left"/>
        <w:rPr>
          <w:rFonts w:eastAsiaTheme="minorEastAsia"/>
          <w:sz w:val="20"/>
          <w:szCs w:val="20"/>
        </w:rPr>
      </w:pPr>
      <w:r w:rsidRPr="00555D65">
        <w:rPr>
          <w:rFonts w:eastAsiaTheme="minorEastAsia"/>
          <w:sz w:val="20"/>
          <w:szCs w:val="20"/>
        </w:rPr>
        <w:t xml:space="preserve">World Bank (2019). World Governance Indicators. Available at: </w:t>
      </w:r>
      <w:hyperlink r:id="rId11" w:history="1">
        <w:r w:rsidR="00B022CF" w:rsidRPr="00555D65">
          <w:rPr>
            <w:rStyle w:val="Hyperlink"/>
            <w:color w:val="auto"/>
            <w:sz w:val="20"/>
            <w:szCs w:val="20"/>
          </w:rPr>
          <w:t>https://databank.worldbank.org/source/worldwide-governance-indicators</w:t>
        </w:r>
      </w:hyperlink>
      <w:r w:rsidRPr="00555D65">
        <w:rPr>
          <w:sz w:val="20"/>
          <w:szCs w:val="20"/>
        </w:rPr>
        <w:t>.</w:t>
      </w:r>
    </w:p>
    <w:p w14:paraId="1670D0CF" w14:textId="5FB17D63" w:rsidR="003C4880" w:rsidRDefault="006358C6" w:rsidP="005E3506">
      <w:pPr>
        <w:pStyle w:val="Bibliography"/>
        <w:spacing w:before="0" w:after="0" w:line="240" w:lineRule="auto"/>
        <w:ind w:right="57"/>
        <w:rPr>
          <w:rFonts w:cs="Times New Roman"/>
          <w:noProof/>
          <w:sz w:val="20"/>
          <w:szCs w:val="20"/>
          <w:lang w:val="en-US"/>
        </w:rPr>
      </w:pPr>
      <w:r w:rsidRPr="00555D65">
        <w:rPr>
          <w:rFonts w:cs="Times New Roman"/>
          <w:noProof/>
          <w:sz w:val="20"/>
          <w:szCs w:val="20"/>
          <w:lang w:val="en-US"/>
        </w:rPr>
        <w:t xml:space="preserve">Zang, A. Y. (2012). Evidence on the trade-off between real activities manipulation and accrual-based earnings management. </w:t>
      </w:r>
      <w:r w:rsidRPr="00555D65">
        <w:rPr>
          <w:rFonts w:cs="Times New Roman"/>
          <w:i/>
          <w:iCs/>
          <w:noProof/>
          <w:sz w:val="20"/>
          <w:szCs w:val="20"/>
          <w:lang w:val="en-US"/>
        </w:rPr>
        <w:t>The Accounting Review, 87</w:t>
      </w:r>
      <w:r w:rsidRPr="00555D65">
        <w:rPr>
          <w:rFonts w:cs="Times New Roman"/>
          <w:noProof/>
          <w:sz w:val="20"/>
          <w:szCs w:val="20"/>
          <w:lang w:val="en-US"/>
        </w:rPr>
        <w:t>(2), 675-703.</w:t>
      </w:r>
      <w:r w:rsidR="003C4880">
        <w:rPr>
          <w:rFonts w:cs="Times New Roman"/>
          <w:noProof/>
          <w:sz w:val="20"/>
          <w:szCs w:val="20"/>
          <w:lang w:val="en-US"/>
        </w:rPr>
        <w:br w:type="page"/>
      </w:r>
    </w:p>
    <w:tbl>
      <w:tblPr>
        <w:tblpPr w:leftFromText="180" w:rightFromText="180" w:vertAnchor="text" w:horzAnchor="margin" w:tblpXSpec="center" w:tblpY="106"/>
        <w:tblW w:w="9308" w:type="dxa"/>
        <w:jc w:val="center"/>
        <w:tblLook w:val="04A0" w:firstRow="1" w:lastRow="0" w:firstColumn="1" w:lastColumn="0" w:noHBand="0" w:noVBand="1"/>
      </w:tblPr>
      <w:tblGrid>
        <w:gridCol w:w="1138"/>
        <w:gridCol w:w="8170"/>
      </w:tblGrid>
      <w:tr w:rsidR="005E3506" w:rsidRPr="007E1190" w14:paraId="03A39A8E" w14:textId="77777777" w:rsidTr="001578CB">
        <w:trPr>
          <w:trHeight w:val="80"/>
          <w:jc w:val="center"/>
        </w:trPr>
        <w:tc>
          <w:tcPr>
            <w:tcW w:w="9308" w:type="dxa"/>
            <w:gridSpan w:val="2"/>
            <w:tcBorders>
              <w:top w:val="nil"/>
              <w:left w:val="nil"/>
              <w:bottom w:val="single" w:sz="4" w:space="0" w:color="auto"/>
              <w:right w:val="nil"/>
            </w:tcBorders>
            <w:shd w:val="clear" w:color="auto" w:fill="auto"/>
            <w:noWrap/>
            <w:vAlign w:val="center"/>
            <w:hideMark/>
          </w:tcPr>
          <w:p w14:paraId="2C563E5F" w14:textId="021DA530" w:rsidR="005E3506" w:rsidRPr="001578CB" w:rsidRDefault="006358C6" w:rsidP="001578CB">
            <w:pPr>
              <w:spacing w:after="0" w:line="240" w:lineRule="auto"/>
              <w:rPr>
                <w:rFonts w:ascii="Times New Roman" w:eastAsia="Times New Roman" w:hAnsi="Times New Roman" w:cs="Times New Roman"/>
                <w:color w:val="000000"/>
                <w:sz w:val="20"/>
                <w:szCs w:val="20"/>
                <w:lang w:eastAsia="en-NZ"/>
              </w:rPr>
            </w:pPr>
            <w:r>
              <w:rPr>
                <w:rFonts w:ascii="Times New Roman" w:hAnsi="Times New Roman" w:cs="Times New Roman"/>
                <w:b/>
                <w:sz w:val="24"/>
                <w:szCs w:val="24"/>
                <w:highlight w:val="yellow"/>
              </w:rPr>
              <w:lastRenderedPageBreak/>
              <w:br w:type="page"/>
            </w:r>
            <w:r w:rsidR="00CB3377" w:rsidRPr="001578CB">
              <w:rPr>
                <w:rFonts w:ascii="Times New Roman" w:eastAsia="Times New Roman" w:hAnsi="Times New Roman" w:cs="Times New Roman"/>
                <w:color w:val="000000"/>
                <w:sz w:val="20"/>
                <w:szCs w:val="20"/>
                <w:lang w:eastAsia="en-NZ"/>
              </w:rPr>
              <w:t xml:space="preserve">APPENDIX: </w:t>
            </w:r>
            <w:r w:rsidR="005E3506" w:rsidRPr="001578CB">
              <w:rPr>
                <w:rFonts w:ascii="Times New Roman" w:eastAsia="Times New Roman" w:hAnsi="Times New Roman" w:cs="Times New Roman"/>
                <w:color w:val="000000"/>
                <w:sz w:val="20"/>
                <w:szCs w:val="20"/>
                <w:lang w:eastAsia="en-NZ"/>
              </w:rPr>
              <w:t>Variable Definitions</w:t>
            </w:r>
          </w:p>
        </w:tc>
      </w:tr>
      <w:tr w:rsidR="005E3506" w:rsidRPr="007E1190" w14:paraId="018C147F" w14:textId="77777777" w:rsidTr="001578CB">
        <w:trPr>
          <w:trHeight w:val="87"/>
          <w:jc w:val="center"/>
        </w:trPr>
        <w:tc>
          <w:tcPr>
            <w:tcW w:w="1138" w:type="dxa"/>
            <w:tcBorders>
              <w:top w:val="single" w:sz="4" w:space="0" w:color="auto"/>
              <w:left w:val="nil"/>
              <w:bottom w:val="single" w:sz="4" w:space="0" w:color="auto"/>
              <w:right w:val="nil"/>
            </w:tcBorders>
            <w:shd w:val="clear" w:color="auto" w:fill="auto"/>
            <w:noWrap/>
            <w:vAlign w:val="center"/>
            <w:hideMark/>
          </w:tcPr>
          <w:p w14:paraId="366CFD79" w14:textId="77777777" w:rsidR="005E3506" w:rsidRPr="005D1027" w:rsidRDefault="005E3506" w:rsidP="00030140">
            <w:pPr>
              <w:spacing w:after="0" w:line="240" w:lineRule="auto"/>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Variable</w:t>
            </w:r>
          </w:p>
        </w:tc>
        <w:tc>
          <w:tcPr>
            <w:tcW w:w="8170" w:type="dxa"/>
            <w:tcBorders>
              <w:top w:val="single" w:sz="4" w:space="0" w:color="auto"/>
              <w:left w:val="nil"/>
              <w:bottom w:val="single" w:sz="4" w:space="0" w:color="auto"/>
              <w:right w:val="nil"/>
            </w:tcBorders>
            <w:shd w:val="clear" w:color="auto" w:fill="auto"/>
            <w:noWrap/>
            <w:vAlign w:val="center"/>
            <w:hideMark/>
          </w:tcPr>
          <w:p w14:paraId="0E44D42A" w14:textId="77777777" w:rsidR="005E3506" w:rsidRPr="005D1027"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 xml:space="preserve">Description </w:t>
            </w:r>
          </w:p>
        </w:tc>
      </w:tr>
      <w:tr w:rsidR="00AC2232" w:rsidRPr="007E1190" w14:paraId="3E823070" w14:textId="77777777" w:rsidTr="001578CB">
        <w:trPr>
          <w:trHeight w:val="264"/>
          <w:jc w:val="center"/>
        </w:trPr>
        <w:tc>
          <w:tcPr>
            <w:tcW w:w="1138" w:type="dxa"/>
            <w:tcBorders>
              <w:top w:val="single" w:sz="4" w:space="0" w:color="auto"/>
              <w:left w:val="nil"/>
              <w:bottom w:val="nil"/>
              <w:right w:val="nil"/>
            </w:tcBorders>
            <w:shd w:val="clear" w:color="auto" w:fill="auto"/>
            <w:noWrap/>
            <w:vAlign w:val="center"/>
          </w:tcPr>
          <w:p w14:paraId="32DE3CB8"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AEM</w:t>
            </w:r>
          </w:p>
        </w:tc>
        <w:tc>
          <w:tcPr>
            <w:tcW w:w="8170" w:type="dxa"/>
            <w:vMerge w:val="restart"/>
            <w:tcBorders>
              <w:top w:val="single" w:sz="4" w:space="0" w:color="auto"/>
              <w:left w:val="nil"/>
              <w:right w:val="nil"/>
            </w:tcBorders>
            <w:shd w:val="clear" w:color="auto" w:fill="auto"/>
            <w:noWrap/>
            <w:vAlign w:val="center"/>
          </w:tcPr>
          <w:p w14:paraId="21EBA43A" w14:textId="3C0F2D3C" w:rsidR="00AC2232" w:rsidRPr="008617E0" w:rsidRDefault="00AC2232" w:rsidP="008617E0">
            <w:pPr>
              <w:jc w:val="both"/>
              <w:rPr>
                <w:rFonts w:ascii="Times New Roman" w:eastAsia="Calibri" w:hAnsi="Times New Roman" w:cs="Times New Roman"/>
                <w:sz w:val="20"/>
                <w:szCs w:val="20"/>
                <w:lang w:val="en-GB"/>
              </w:rPr>
            </w:pPr>
            <w:r w:rsidRPr="005D1027">
              <w:rPr>
                <w:rFonts w:ascii="Times New Roman" w:eastAsia="Times New Roman" w:hAnsi="Times New Roman" w:cs="Times New Roman"/>
                <w:color w:val="000000"/>
                <w:sz w:val="20"/>
                <w:szCs w:val="20"/>
                <w:lang w:eastAsia="en-NZ"/>
              </w:rPr>
              <w:t xml:space="preserve">Accruals earnings management </w:t>
            </w:r>
            <w:r w:rsidR="0095185A">
              <w:rPr>
                <w:rFonts w:ascii="Times New Roman" w:eastAsia="Times New Roman" w:hAnsi="Times New Roman" w:cs="Times New Roman"/>
                <w:color w:val="000000"/>
                <w:sz w:val="20"/>
                <w:szCs w:val="20"/>
                <w:lang w:eastAsia="en-NZ"/>
              </w:rPr>
              <w:t xml:space="preserve">is decile rank of </w:t>
            </w:r>
            <w:r w:rsidR="003E68E5">
              <w:rPr>
                <w:rFonts w:ascii="Times New Roman" w:eastAsia="Times New Roman" w:hAnsi="Times New Roman" w:cs="Times New Roman"/>
                <w:color w:val="000000"/>
                <w:sz w:val="20"/>
                <w:szCs w:val="20"/>
                <w:lang w:eastAsia="en-NZ"/>
              </w:rPr>
              <w:t>discretional accruals from</w:t>
            </w:r>
            <w:r w:rsidRPr="005D1027">
              <w:rPr>
                <w:rFonts w:ascii="Times New Roman" w:eastAsia="Times New Roman" w:hAnsi="Times New Roman" w:cs="Times New Roman"/>
                <w:color w:val="000000"/>
                <w:sz w:val="20"/>
                <w:szCs w:val="20"/>
                <w:lang w:eastAsia="en-NZ"/>
              </w:rPr>
              <w:t xml:space="preserve"> the modified Jones model.</w:t>
            </w:r>
            <w:r>
              <w:rPr>
                <w:rFonts w:ascii="Times New Roman" w:eastAsia="Times New Roman" w:hAnsi="Times New Roman" w:cs="Times New Roman"/>
                <w:color w:val="000000"/>
                <w:sz w:val="20"/>
                <w:szCs w:val="20"/>
                <w:lang w:eastAsia="en-NZ"/>
              </w:rPr>
              <w:t xml:space="preserve"> </w:t>
            </w:r>
            <w:r w:rsidRPr="008617E0">
              <w:rPr>
                <w:rFonts w:ascii="Times New Roman" w:eastAsia="Calibri" w:hAnsi="Times New Roman" w:cs="Times New Roman"/>
                <w:sz w:val="20"/>
                <w:szCs w:val="20"/>
                <w:lang w:val="en-GB"/>
              </w:rPr>
              <w:t xml:space="preserve">We estimate the following equation for all firms in the same industry with at least </w:t>
            </w:r>
            <w:r w:rsidR="003B28FA">
              <w:rPr>
                <w:rFonts w:ascii="Times New Roman" w:eastAsia="Calibri" w:hAnsi="Times New Roman" w:cs="Times New Roman"/>
                <w:sz w:val="20"/>
                <w:szCs w:val="20"/>
                <w:lang w:val="en-GB"/>
              </w:rPr>
              <w:t>10</w:t>
            </w:r>
            <w:r w:rsidRPr="008617E0">
              <w:rPr>
                <w:rFonts w:ascii="Times New Roman" w:eastAsia="Calibri" w:hAnsi="Times New Roman" w:cs="Times New Roman"/>
                <w:sz w:val="20"/>
                <w:szCs w:val="20"/>
                <w:lang w:val="en-GB"/>
              </w:rPr>
              <w:t xml:space="preserve"> observations for an industry in a particular year:</w:t>
            </w:r>
          </w:p>
          <w:p w14:paraId="14D6E489" w14:textId="1AF2DA6C" w:rsidR="00AC2232" w:rsidRPr="008617E0" w:rsidRDefault="00000000" w:rsidP="003A487B">
            <w:pPr>
              <w:jc w:val="both"/>
              <w:rPr>
                <w:rFonts w:ascii="Times New Roman" w:eastAsia="Calibri" w:hAnsi="Times New Roman" w:cs="Times New Roman"/>
                <w:sz w:val="20"/>
                <w:szCs w:val="20"/>
                <w:lang w:val="en-GB"/>
              </w:rPr>
            </w:pPr>
            <m:oMath>
              <m:f>
                <m:fPr>
                  <m:ctrlPr>
                    <w:rPr>
                      <w:rFonts w:ascii="Cambria Math" w:eastAsia="Calibri" w:hAnsi="Cambria Math" w:cs="Times New Roman"/>
                      <w:sz w:val="20"/>
                      <w:szCs w:val="20"/>
                      <w:lang w:val="en-GB"/>
                    </w:rPr>
                  </m:ctrlPr>
                </m:fPr>
                <m:num>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ACC</m:t>
                      </m:r>
                    </m:e>
                    <m:sub>
                      <m:r>
                        <m:rPr>
                          <m:sty m:val="p"/>
                        </m:rPr>
                        <w:rPr>
                          <w:rFonts w:ascii="Cambria Math" w:eastAsia="Calibri" w:hAnsi="Cambria Math" w:cs="Times New Roman"/>
                          <w:sz w:val="20"/>
                          <w:szCs w:val="20"/>
                          <w:lang w:val="en-GB"/>
                        </w:rPr>
                        <m:t>i,t</m:t>
                      </m:r>
                    </m:sub>
                  </m:sSub>
                </m:num>
                <m:den>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TA</m:t>
                      </m:r>
                    </m:e>
                    <m:sub>
                      <m:r>
                        <m:rPr>
                          <m:sty m:val="p"/>
                        </m:rPr>
                        <w:rPr>
                          <w:rFonts w:ascii="Cambria Math" w:eastAsia="Calibri" w:hAnsi="Cambria Math" w:cs="Times New Roman"/>
                          <w:sz w:val="20"/>
                          <w:szCs w:val="20"/>
                          <w:lang w:val="en-GB"/>
                        </w:rPr>
                        <m:t>i,t-1</m:t>
                      </m:r>
                    </m:sub>
                  </m:sSub>
                </m:den>
              </m:f>
              <m:r>
                <m:rPr>
                  <m:sty m:val="p"/>
                </m:rPr>
                <w:rPr>
                  <w:rFonts w:ascii="Cambria Math" w:eastAsia="Calibri" w:hAnsi="Cambria Math" w:cs="Times New Roman"/>
                  <w:sz w:val="20"/>
                  <w:szCs w:val="20"/>
                  <w:lang w:val="en-GB"/>
                </w:rPr>
                <m:t>=</m:t>
              </m:r>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γ</m:t>
                  </m:r>
                </m:e>
                <m:sub>
                  <m:r>
                    <m:rPr>
                      <m:sty m:val="p"/>
                    </m:rPr>
                    <w:rPr>
                      <w:rFonts w:ascii="Cambria Math" w:eastAsia="Calibri" w:hAnsi="Cambria Math" w:cs="Times New Roman"/>
                      <w:sz w:val="20"/>
                      <w:szCs w:val="20"/>
                      <w:lang w:val="en-GB"/>
                    </w:rPr>
                    <m:t>0</m:t>
                  </m:r>
                </m:sub>
              </m:sSub>
              <m:d>
                <m:dPr>
                  <m:ctrlPr>
                    <w:rPr>
                      <w:rFonts w:ascii="Cambria Math" w:eastAsia="Calibri" w:hAnsi="Cambria Math" w:cs="Times New Roman"/>
                      <w:sz w:val="20"/>
                      <w:szCs w:val="20"/>
                      <w:lang w:val="en-GB"/>
                    </w:rPr>
                  </m:ctrlPr>
                </m:dPr>
                <m:e>
                  <m:f>
                    <m:fPr>
                      <m:ctrlPr>
                        <w:rPr>
                          <w:rFonts w:ascii="Cambria Math" w:eastAsia="Calibri" w:hAnsi="Cambria Math" w:cs="Times New Roman"/>
                          <w:sz w:val="20"/>
                          <w:szCs w:val="20"/>
                          <w:lang w:val="en-GB"/>
                        </w:rPr>
                      </m:ctrlPr>
                    </m:fPr>
                    <m:num>
                      <m:r>
                        <m:rPr>
                          <m:sty m:val="p"/>
                        </m:rPr>
                        <w:rPr>
                          <w:rFonts w:ascii="Cambria Math" w:eastAsia="Calibri" w:hAnsi="Cambria Math" w:cs="Times New Roman"/>
                          <w:sz w:val="20"/>
                          <w:szCs w:val="20"/>
                          <w:lang w:val="en-GB"/>
                        </w:rPr>
                        <m:t>1</m:t>
                      </m:r>
                    </m:num>
                    <m:den>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TA</m:t>
                          </m:r>
                        </m:e>
                        <m:sub>
                          <m:r>
                            <m:rPr>
                              <m:sty m:val="p"/>
                            </m:rPr>
                            <w:rPr>
                              <w:rFonts w:ascii="Cambria Math" w:eastAsia="Calibri" w:hAnsi="Cambria Math" w:cs="Times New Roman"/>
                              <w:sz w:val="20"/>
                              <w:szCs w:val="20"/>
                              <w:lang w:val="en-GB"/>
                            </w:rPr>
                            <m:t>i,t-1</m:t>
                          </m:r>
                        </m:sub>
                      </m:sSub>
                    </m:den>
                  </m:f>
                </m:e>
              </m:d>
              <m:r>
                <m:rPr>
                  <m:sty m:val="p"/>
                </m:rPr>
                <w:rPr>
                  <w:rFonts w:ascii="Cambria Math" w:eastAsia="Calibri" w:hAnsi="Cambria Math" w:cs="Times New Roman"/>
                  <w:sz w:val="20"/>
                  <w:szCs w:val="20"/>
                  <w:lang w:val="en-GB"/>
                </w:rPr>
                <m:t>+</m:t>
              </m:r>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γ</m:t>
                  </m:r>
                </m:e>
                <m:sub>
                  <m:r>
                    <m:rPr>
                      <m:sty m:val="p"/>
                    </m:rPr>
                    <w:rPr>
                      <w:rFonts w:ascii="Cambria Math" w:eastAsia="Calibri" w:hAnsi="Cambria Math" w:cs="Times New Roman"/>
                      <w:sz w:val="20"/>
                      <w:szCs w:val="20"/>
                      <w:lang w:val="en-GB"/>
                    </w:rPr>
                    <m:t>1</m:t>
                  </m:r>
                </m:sub>
              </m:sSub>
              <m:d>
                <m:dPr>
                  <m:begChr m:val="["/>
                  <m:endChr m:val="]"/>
                  <m:ctrlPr>
                    <w:rPr>
                      <w:rFonts w:ascii="Cambria Math" w:eastAsia="Calibri" w:hAnsi="Cambria Math" w:cs="Times New Roman"/>
                      <w:sz w:val="20"/>
                      <w:szCs w:val="20"/>
                      <w:lang w:val="en-GB"/>
                    </w:rPr>
                  </m:ctrlPr>
                </m:dPr>
                <m:e>
                  <m:f>
                    <m:fPr>
                      <m:ctrlPr>
                        <w:rPr>
                          <w:rFonts w:ascii="Cambria Math" w:eastAsia="Calibri" w:hAnsi="Cambria Math" w:cs="Times New Roman"/>
                          <w:sz w:val="20"/>
                          <w:szCs w:val="20"/>
                          <w:lang w:val="en-GB"/>
                        </w:rPr>
                      </m:ctrlPr>
                    </m:fPr>
                    <m:num>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∆SALES</m:t>
                          </m:r>
                        </m:e>
                        <m:sub>
                          <m:r>
                            <m:rPr>
                              <m:sty m:val="p"/>
                            </m:rPr>
                            <w:rPr>
                              <w:rFonts w:ascii="Cambria Math" w:eastAsia="Calibri" w:hAnsi="Cambria Math" w:cs="Times New Roman"/>
                              <w:sz w:val="20"/>
                              <w:szCs w:val="20"/>
                              <w:lang w:val="en-GB"/>
                            </w:rPr>
                            <m:t>i,t</m:t>
                          </m:r>
                        </m:sub>
                      </m:sSub>
                      <m:r>
                        <m:rPr>
                          <m:sty m:val="p"/>
                        </m:rPr>
                        <w:rPr>
                          <w:rFonts w:ascii="Cambria Math" w:eastAsia="Calibri" w:hAnsi="Cambria Math" w:cs="Times New Roman"/>
                          <w:sz w:val="20"/>
                          <w:szCs w:val="20"/>
                          <w:lang w:val="en-GB"/>
                        </w:rPr>
                        <m:t>-</m:t>
                      </m:r>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∆RECEIV</m:t>
                          </m:r>
                        </m:e>
                        <m:sub>
                          <m:r>
                            <m:rPr>
                              <m:sty m:val="p"/>
                            </m:rPr>
                            <w:rPr>
                              <w:rFonts w:ascii="Cambria Math" w:eastAsia="Calibri" w:hAnsi="Cambria Math" w:cs="Times New Roman"/>
                              <w:sz w:val="20"/>
                              <w:szCs w:val="20"/>
                              <w:lang w:val="en-GB"/>
                            </w:rPr>
                            <m:t>i,t</m:t>
                          </m:r>
                        </m:sub>
                      </m:sSub>
                    </m:num>
                    <m:den>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TA</m:t>
                          </m:r>
                        </m:e>
                        <m:sub>
                          <m:r>
                            <m:rPr>
                              <m:sty m:val="p"/>
                            </m:rPr>
                            <w:rPr>
                              <w:rFonts w:ascii="Cambria Math" w:eastAsia="Calibri" w:hAnsi="Cambria Math" w:cs="Times New Roman"/>
                              <w:sz w:val="20"/>
                              <w:szCs w:val="20"/>
                              <w:lang w:val="en-GB"/>
                            </w:rPr>
                            <m:t>i,t-1</m:t>
                          </m:r>
                        </m:sub>
                      </m:sSub>
                    </m:den>
                  </m:f>
                </m:e>
              </m:d>
              <m:r>
                <m:rPr>
                  <m:sty m:val="p"/>
                </m:rPr>
                <w:rPr>
                  <w:rFonts w:ascii="Cambria Math" w:eastAsia="Calibri" w:hAnsi="Cambria Math" w:cs="Times New Roman"/>
                  <w:sz w:val="20"/>
                  <w:szCs w:val="20"/>
                  <w:lang w:val="en-GB"/>
                </w:rPr>
                <m:t>+</m:t>
              </m:r>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γ</m:t>
                  </m:r>
                </m:e>
                <m:sub>
                  <m:r>
                    <m:rPr>
                      <m:sty m:val="p"/>
                    </m:rPr>
                    <w:rPr>
                      <w:rFonts w:ascii="Cambria Math" w:eastAsia="Calibri" w:hAnsi="Cambria Math" w:cs="Times New Roman"/>
                      <w:sz w:val="20"/>
                      <w:szCs w:val="20"/>
                      <w:lang w:val="en-GB"/>
                    </w:rPr>
                    <m:t>2</m:t>
                  </m:r>
                </m:sub>
              </m:sSub>
              <m:d>
                <m:dPr>
                  <m:ctrlPr>
                    <w:rPr>
                      <w:rFonts w:ascii="Cambria Math" w:eastAsia="Calibri" w:hAnsi="Cambria Math" w:cs="Times New Roman"/>
                      <w:sz w:val="20"/>
                      <w:szCs w:val="20"/>
                      <w:lang w:val="en-GB"/>
                    </w:rPr>
                  </m:ctrlPr>
                </m:dPr>
                <m:e>
                  <m:f>
                    <m:fPr>
                      <m:ctrlPr>
                        <w:rPr>
                          <w:rFonts w:ascii="Cambria Math" w:eastAsia="Calibri" w:hAnsi="Cambria Math" w:cs="Times New Roman"/>
                          <w:sz w:val="20"/>
                          <w:szCs w:val="20"/>
                          <w:lang w:val="en-GB"/>
                        </w:rPr>
                      </m:ctrlPr>
                    </m:fPr>
                    <m:num>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PPE</m:t>
                          </m:r>
                        </m:e>
                        <m:sub>
                          <m:r>
                            <m:rPr>
                              <m:sty m:val="p"/>
                            </m:rPr>
                            <w:rPr>
                              <w:rFonts w:ascii="Cambria Math" w:eastAsia="Calibri" w:hAnsi="Cambria Math" w:cs="Times New Roman"/>
                              <w:sz w:val="20"/>
                              <w:szCs w:val="20"/>
                              <w:lang w:val="en-GB"/>
                            </w:rPr>
                            <m:t>i,t</m:t>
                          </m:r>
                        </m:sub>
                      </m:sSub>
                    </m:num>
                    <m:den>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TA</m:t>
                          </m:r>
                        </m:e>
                        <m:sub>
                          <m:r>
                            <m:rPr>
                              <m:sty m:val="p"/>
                            </m:rPr>
                            <w:rPr>
                              <w:rFonts w:ascii="Cambria Math" w:eastAsia="Calibri" w:hAnsi="Cambria Math" w:cs="Times New Roman"/>
                              <w:sz w:val="20"/>
                              <w:szCs w:val="20"/>
                              <w:lang w:val="en-GB"/>
                            </w:rPr>
                            <m:t>i,t-1</m:t>
                          </m:r>
                        </m:sub>
                      </m:sSub>
                    </m:den>
                  </m:f>
                </m:e>
              </m:d>
              <m:r>
                <m:rPr>
                  <m:sty m:val="p"/>
                </m:rPr>
                <w:rPr>
                  <w:rFonts w:ascii="Cambria Math" w:eastAsia="Calibri" w:hAnsi="Cambria Math" w:cs="Times New Roman"/>
                  <w:sz w:val="20"/>
                  <w:szCs w:val="20"/>
                  <w:lang w:val="en-GB"/>
                </w:rPr>
                <m:t>+</m:t>
              </m:r>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γ</m:t>
                  </m:r>
                </m:e>
                <m:sub>
                  <m:r>
                    <m:rPr>
                      <m:sty m:val="p"/>
                    </m:rPr>
                    <w:rPr>
                      <w:rFonts w:ascii="Cambria Math" w:eastAsia="Calibri" w:hAnsi="Cambria Math" w:cs="Times New Roman"/>
                      <w:sz w:val="20"/>
                      <w:szCs w:val="20"/>
                      <w:lang w:val="en-GB"/>
                    </w:rPr>
                    <m:t>3</m:t>
                  </m:r>
                </m:sub>
              </m:sSub>
              <m:d>
                <m:dPr>
                  <m:ctrlPr>
                    <w:rPr>
                      <w:rFonts w:ascii="Cambria Math" w:eastAsia="Calibri" w:hAnsi="Cambria Math" w:cs="Times New Roman"/>
                      <w:sz w:val="20"/>
                      <w:szCs w:val="20"/>
                      <w:lang w:val="en-GB"/>
                    </w:rPr>
                  </m:ctrlPr>
                </m:dPr>
                <m:e>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ROA</m:t>
                      </m:r>
                    </m:e>
                    <m:sub>
                      <m:r>
                        <m:rPr>
                          <m:sty m:val="p"/>
                        </m:rPr>
                        <w:rPr>
                          <w:rFonts w:ascii="Cambria Math" w:eastAsia="Calibri" w:hAnsi="Cambria Math" w:cs="Times New Roman"/>
                          <w:sz w:val="20"/>
                          <w:szCs w:val="20"/>
                          <w:lang w:val="en-GB"/>
                        </w:rPr>
                        <m:t>i,t-1</m:t>
                      </m:r>
                    </m:sub>
                  </m:sSub>
                </m:e>
              </m:d>
              <m:r>
                <m:rPr>
                  <m:sty m:val="p"/>
                </m:rPr>
                <w:rPr>
                  <w:rFonts w:ascii="Cambria Math" w:eastAsia="Calibri" w:hAnsi="Cambria Math" w:cs="Times New Roman"/>
                  <w:sz w:val="20"/>
                  <w:szCs w:val="20"/>
                  <w:lang w:val="en-GB"/>
                </w:rPr>
                <m:t xml:space="preserve">+ </m:t>
              </m:r>
              <m:sSub>
                <m:sSubPr>
                  <m:ctrlPr>
                    <w:rPr>
                      <w:rFonts w:ascii="Cambria Math" w:eastAsia="Calibri" w:hAnsi="Cambria Math" w:cs="Times New Roman"/>
                      <w:sz w:val="20"/>
                      <w:szCs w:val="20"/>
                      <w:lang w:val="en-GB"/>
                    </w:rPr>
                  </m:ctrlPr>
                </m:sSubPr>
                <m:e>
                  <m:r>
                    <m:rPr>
                      <m:sty m:val="p"/>
                    </m:rPr>
                    <w:rPr>
                      <w:rFonts w:ascii="Cambria Math" w:eastAsia="Calibri" w:hAnsi="Cambria Math" w:cs="Times New Roman"/>
                      <w:sz w:val="20"/>
                      <w:szCs w:val="20"/>
                      <w:lang w:val="en-GB"/>
                    </w:rPr>
                    <m:t>ε</m:t>
                  </m:r>
                </m:e>
                <m:sub>
                  <m:r>
                    <m:rPr>
                      <m:sty m:val="p"/>
                    </m:rPr>
                    <w:rPr>
                      <w:rFonts w:ascii="Cambria Math" w:eastAsia="Calibri" w:hAnsi="Cambria Math" w:cs="Times New Roman"/>
                      <w:sz w:val="20"/>
                      <w:szCs w:val="20"/>
                      <w:lang w:val="en-GB"/>
                    </w:rPr>
                    <m:t>i,t</m:t>
                  </m:r>
                </m:sub>
              </m:sSub>
              <m:r>
                <m:rPr>
                  <m:sty m:val="p"/>
                </m:rPr>
                <w:rPr>
                  <w:rFonts w:ascii="Cambria Math" w:eastAsia="Calibri" w:hAnsi="Cambria Math" w:cs="Times New Roman"/>
                  <w:sz w:val="20"/>
                  <w:szCs w:val="20"/>
                  <w:lang w:val="en-GB"/>
                </w:rPr>
                <m:t xml:space="preserve"> </m:t>
              </m:r>
            </m:oMath>
            <w:r w:rsidR="00AC2232" w:rsidRPr="008617E0">
              <w:rPr>
                <w:rFonts w:ascii="Times New Roman" w:eastAsia="Calibri" w:hAnsi="Times New Roman" w:cs="Times New Roman"/>
                <w:sz w:val="20"/>
                <w:szCs w:val="20"/>
                <w:lang w:val="en-GB"/>
              </w:rPr>
              <w:t xml:space="preserve">   </w:t>
            </w:r>
            <w:r w:rsidR="00FC5804">
              <w:rPr>
                <w:rFonts w:ascii="Times New Roman" w:eastAsia="Calibri" w:hAnsi="Times New Roman" w:cs="Times New Roman"/>
                <w:sz w:val="20"/>
                <w:szCs w:val="20"/>
                <w:lang w:val="en-GB"/>
              </w:rPr>
              <w:t xml:space="preserve">      </w:t>
            </w:r>
            <w:r w:rsidR="00AC2232" w:rsidRPr="008617E0">
              <w:rPr>
                <w:rFonts w:ascii="Times New Roman" w:eastAsia="Calibri" w:hAnsi="Times New Roman" w:cs="Times New Roman"/>
                <w:sz w:val="20"/>
                <w:szCs w:val="20"/>
                <w:lang w:val="en-GB"/>
              </w:rPr>
              <w:t>(A.1)</w:t>
            </w:r>
          </w:p>
          <w:p w14:paraId="12CC310B" w14:textId="4656CBCC" w:rsidR="00AC2232" w:rsidRPr="005D1027" w:rsidRDefault="00AC2232" w:rsidP="008617E0">
            <w:pPr>
              <w:spacing w:after="0" w:line="240" w:lineRule="auto"/>
              <w:jc w:val="both"/>
              <w:rPr>
                <w:rFonts w:ascii="Times New Roman" w:eastAsia="Times New Roman" w:hAnsi="Times New Roman" w:cs="Times New Roman"/>
                <w:color w:val="000000"/>
                <w:sz w:val="20"/>
                <w:szCs w:val="20"/>
                <w:lang w:eastAsia="en-NZ"/>
              </w:rPr>
            </w:pPr>
            <w:r w:rsidRPr="008617E0">
              <w:rPr>
                <w:rFonts w:ascii="Times New Roman" w:eastAsia="Calibri" w:hAnsi="Times New Roman" w:cs="Times New Roman"/>
                <w:sz w:val="20"/>
                <w:szCs w:val="20"/>
                <w:lang w:val="en-GB"/>
              </w:rPr>
              <w:t xml:space="preserve">where ACC is total accruals calculated as earnings before extraordinary items and discontinued operations (IB) minus operating cash flows (OANCF); TA is total assets in year t-1; ΔSALES is change in sales from year t-1 to year t; ∆RECEIV is change in accounts receivable from year t-1 to year t; PPE is gross property plant </w:t>
            </w:r>
            <w:r w:rsidR="00597DA6">
              <w:rPr>
                <w:rFonts w:ascii="Times New Roman" w:eastAsia="Calibri" w:hAnsi="Times New Roman" w:cs="Times New Roman"/>
                <w:sz w:val="20"/>
                <w:szCs w:val="20"/>
                <w:lang w:val="en-GB"/>
              </w:rPr>
              <w:t>and</w:t>
            </w:r>
            <w:r w:rsidRPr="008617E0">
              <w:rPr>
                <w:rFonts w:ascii="Times New Roman" w:eastAsia="Calibri" w:hAnsi="Times New Roman" w:cs="Times New Roman"/>
                <w:sz w:val="20"/>
                <w:szCs w:val="20"/>
                <w:lang w:val="en-GB"/>
              </w:rPr>
              <w:t xml:space="preserve"> equipment; ROA is return on assets measured as earnings before extraordinary items and discontinued operations for the preceding year divided by total assets for the same year. The coefficient estimates from Equation (A.1) are used to estimate the non-discretionary component of total accruals (NDAC) for our sample firms. The discretionary accruals are then the residuals from equation (A.1), i.e.</w:t>
            </w:r>
            <w:r w:rsidR="00DB51BC">
              <w:rPr>
                <w:rFonts w:ascii="Times New Roman" w:eastAsia="Calibri" w:hAnsi="Times New Roman" w:cs="Times New Roman"/>
                <w:sz w:val="20"/>
                <w:szCs w:val="20"/>
                <w:lang w:val="en-GB"/>
              </w:rPr>
              <w:t>,</w:t>
            </w:r>
            <w:r w:rsidRPr="008617E0">
              <w:rPr>
                <w:rFonts w:ascii="Times New Roman" w:eastAsia="Calibri" w:hAnsi="Times New Roman" w:cs="Times New Roman"/>
                <w:sz w:val="20"/>
                <w:szCs w:val="20"/>
                <w:lang w:val="en-GB"/>
              </w:rPr>
              <w:t xml:space="preserve"> DAC=ACC-NDAC.</w:t>
            </w:r>
          </w:p>
        </w:tc>
      </w:tr>
      <w:tr w:rsidR="00AC2232" w:rsidRPr="007E1190" w14:paraId="361F2254" w14:textId="77777777" w:rsidTr="001578CB">
        <w:trPr>
          <w:trHeight w:val="258"/>
          <w:jc w:val="center"/>
        </w:trPr>
        <w:tc>
          <w:tcPr>
            <w:tcW w:w="1138" w:type="dxa"/>
            <w:tcBorders>
              <w:top w:val="nil"/>
              <w:left w:val="nil"/>
              <w:bottom w:val="nil"/>
              <w:right w:val="nil"/>
            </w:tcBorders>
            <w:shd w:val="clear" w:color="auto" w:fill="auto"/>
            <w:noWrap/>
            <w:vAlign w:val="center"/>
          </w:tcPr>
          <w:p w14:paraId="0E4EE8C0"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0443BFBB"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0E1291AC" w14:textId="77777777" w:rsidTr="001578CB">
        <w:trPr>
          <w:trHeight w:val="258"/>
          <w:jc w:val="center"/>
        </w:trPr>
        <w:tc>
          <w:tcPr>
            <w:tcW w:w="1138" w:type="dxa"/>
            <w:tcBorders>
              <w:top w:val="nil"/>
              <w:left w:val="nil"/>
              <w:bottom w:val="nil"/>
              <w:right w:val="nil"/>
            </w:tcBorders>
            <w:shd w:val="clear" w:color="auto" w:fill="auto"/>
            <w:noWrap/>
            <w:vAlign w:val="center"/>
          </w:tcPr>
          <w:p w14:paraId="6374CF99"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134D0DAE"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25E66AC7" w14:textId="77777777" w:rsidTr="001578CB">
        <w:trPr>
          <w:trHeight w:val="258"/>
          <w:jc w:val="center"/>
        </w:trPr>
        <w:tc>
          <w:tcPr>
            <w:tcW w:w="1138" w:type="dxa"/>
            <w:tcBorders>
              <w:top w:val="nil"/>
              <w:left w:val="nil"/>
              <w:bottom w:val="nil"/>
              <w:right w:val="nil"/>
            </w:tcBorders>
            <w:shd w:val="clear" w:color="auto" w:fill="auto"/>
            <w:noWrap/>
            <w:vAlign w:val="center"/>
          </w:tcPr>
          <w:p w14:paraId="796B3591"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20F303D3"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1090F5B5" w14:textId="77777777" w:rsidTr="001578CB">
        <w:trPr>
          <w:trHeight w:val="258"/>
          <w:jc w:val="center"/>
        </w:trPr>
        <w:tc>
          <w:tcPr>
            <w:tcW w:w="1138" w:type="dxa"/>
            <w:tcBorders>
              <w:top w:val="nil"/>
              <w:left w:val="nil"/>
              <w:bottom w:val="nil"/>
              <w:right w:val="nil"/>
            </w:tcBorders>
            <w:shd w:val="clear" w:color="auto" w:fill="auto"/>
            <w:noWrap/>
            <w:vAlign w:val="center"/>
          </w:tcPr>
          <w:p w14:paraId="139B25D1"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42068E61"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12AB9FDF" w14:textId="77777777" w:rsidTr="001578CB">
        <w:trPr>
          <w:trHeight w:val="258"/>
          <w:jc w:val="center"/>
        </w:trPr>
        <w:tc>
          <w:tcPr>
            <w:tcW w:w="1138" w:type="dxa"/>
            <w:tcBorders>
              <w:top w:val="nil"/>
              <w:left w:val="nil"/>
              <w:bottom w:val="nil"/>
              <w:right w:val="nil"/>
            </w:tcBorders>
            <w:shd w:val="clear" w:color="auto" w:fill="auto"/>
            <w:noWrap/>
            <w:vAlign w:val="center"/>
          </w:tcPr>
          <w:p w14:paraId="242EEBC2"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3717447F"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4919D43F" w14:textId="77777777" w:rsidTr="001578CB">
        <w:trPr>
          <w:trHeight w:val="258"/>
          <w:jc w:val="center"/>
        </w:trPr>
        <w:tc>
          <w:tcPr>
            <w:tcW w:w="1138" w:type="dxa"/>
            <w:tcBorders>
              <w:top w:val="nil"/>
              <w:left w:val="nil"/>
              <w:bottom w:val="nil"/>
              <w:right w:val="nil"/>
            </w:tcBorders>
            <w:shd w:val="clear" w:color="auto" w:fill="auto"/>
            <w:noWrap/>
            <w:vAlign w:val="center"/>
          </w:tcPr>
          <w:p w14:paraId="5D20D86B"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501B79BB"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0204E234" w14:textId="77777777" w:rsidTr="001578CB">
        <w:trPr>
          <w:trHeight w:val="258"/>
          <w:jc w:val="center"/>
        </w:trPr>
        <w:tc>
          <w:tcPr>
            <w:tcW w:w="1138" w:type="dxa"/>
            <w:tcBorders>
              <w:top w:val="nil"/>
              <w:left w:val="nil"/>
              <w:bottom w:val="nil"/>
              <w:right w:val="nil"/>
            </w:tcBorders>
            <w:shd w:val="clear" w:color="auto" w:fill="auto"/>
            <w:noWrap/>
            <w:vAlign w:val="center"/>
          </w:tcPr>
          <w:p w14:paraId="7EF06281"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66FFE519"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481F25E9" w14:textId="77777777" w:rsidTr="001578CB">
        <w:trPr>
          <w:trHeight w:val="258"/>
          <w:jc w:val="center"/>
        </w:trPr>
        <w:tc>
          <w:tcPr>
            <w:tcW w:w="1138" w:type="dxa"/>
            <w:tcBorders>
              <w:top w:val="nil"/>
              <w:left w:val="nil"/>
              <w:bottom w:val="nil"/>
              <w:right w:val="nil"/>
            </w:tcBorders>
            <w:shd w:val="clear" w:color="auto" w:fill="auto"/>
            <w:noWrap/>
            <w:vAlign w:val="center"/>
          </w:tcPr>
          <w:p w14:paraId="10668A82"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48DC57BF"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74BDE0A8" w14:textId="77777777" w:rsidTr="001578CB">
        <w:trPr>
          <w:trHeight w:val="258"/>
          <w:jc w:val="center"/>
        </w:trPr>
        <w:tc>
          <w:tcPr>
            <w:tcW w:w="1138" w:type="dxa"/>
            <w:tcBorders>
              <w:top w:val="nil"/>
              <w:left w:val="nil"/>
              <w:bottom w:val="nil"/>
              <w:right w:val="nil"/>
            </w:tcBorders>
            <w:shd w:val="clear" w:color="auto" w:fill="auto"/>
            <w:noWrap/>
            <w:vAlign w:val="center"/>
          </w:tcPr>
          <w:p w14:paraId="6DFE2838"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4A59DE9C"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2BDA9691" w14:textId="77777777" w:rsidTr="001578CB">
        <w:trPr>
          <w:trHeight w:val="258"/>
          <w:jc w:val="center"/>
        </w:trPr>
        <w:tc>
          <w:tcPr>
            <w:tcW w:w="1138" w:type="dxa"/>
            <w:tcBorders>
              <w:top w:val="nil"/>
              <w:left w:val="nil"/>
              <w:bottom w:val="nil"/>
              <w:right w:val="nil"/>
            </w:tcBorders>
            <w:shd w:val="clear" w:color="auto" w:fill="auto"/>
            <w:noWrap/>
            <w:vAlign w:val="center"/>
          </w:tcPr>
          <w:p w14:paraId="33609301"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1AF45E83"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5700E559" w14:textId="77777777" w:rsidTr="001578CB">
        <w:trPr>
          <w:trHeight w:val="258"/>
          <w:jc w:val="center"/>
        </w:trPr>
        <w:tc>
          <w:tcPr>
            <w:tcW w:w="1138" w:type="dxa"/>
            <w:tcBorders>
              <w:top w:val="nil"/>
              <w:left w:val="nil"/>
              <w:bottom w:val="nil"/>
              <w:right w:val="nil"/>
            </w:tcBorders>
            <w:shd w:val="clear" w:color="auto" w:fill="auto"/>
            <w:noWrap/>
            <w:vAlign w:val="center"/>
          </w:tcPr>
          <w:p w14:paraId="7BCEFD62"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4EDB8818"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AC2232" w:rsidRPr="007E1190" w14:paraId="66BB5597" w14:textId="77777777" w:rsidTr="001578CB">
        <w:trPr>
          <w:trHeight w:val="258"/>
          <w:jc w:val="center"/>
        </w:trPr>
        <w:tc>
          <w:tcPr>
            <w:tcW w:w="1138" w:type="dxa"/>
            <w:tcBorders>
              <w:top w:val="nil"/>
              <w:left w:val="nil"/>
              <w:bottom w:val="nil"/>
              <w:right w:val="nil"/>
            </w:tcBorders>
            <w:shd w:val="clear" w:color="auto" w:fill="auto"/>
            <w:noWrap/>
            <w:vAlign w:val="center"/>
          </w:tcPr>
          <w:p w14:paraId="586B5EFF" w14:textId="77777777" w:rsidR="00AC2232" w:rsidRPr="005D1027" w:rsidRDefault="00AC2232" w:rsidP="0003014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bottom w:val="nil"/>
              <w:right w:val="nil"/>
            </w:tcBorders>
            <w:shd w:val="clear" w:color="auto" w:fill="auto"/>
            <w:noWrap/>
            <w:vAlign w:val="center"/>
          </w:tcPr>
          <w:p w14:paraId="2A284A69" w14:textId="77777777" w:rsidR="00AC2232" w:rsidRPr="005D1027" w:rsidRDefault="00AC2232" w:rsidP="008617E0">
            <w:pPr>
              <w:jc w:val="both"/>
              <w:rPr>
                <w:rFonts w:ascii="Times New Roman" w:eastAsia="Times New Roman" w:hAnsi="Times New Roman" w:cs="Times New Roman"/>
                <w:color w:val="000000"/>
                <w:sz w:val="20"/>
                <w:szCs w:val="20"/>
                <w:lang w:eastAsia="en-NZ"/>
              </w:rPr>
            </w:pPr>
          </w:p>
        </w:tc>
      </w:tr>
      <w:tr w:rsidR="005E3506" w:rsidRPr="007E1190" w14:paraId="606FEE9A" w14:textId="77777777" w:rsidTr="001578CB">
        <w:trPr>
          <w:trHeight w:val="80"/>
          <w:jc w:val="center"/>
        </w:trPr>
        <w:tc>
          <w:tcPr>
            <w:tcW w:w="1138" w:type="dxa"/>
            <w:tcBorders>
              <w:top w:val="nil"/>
              <w:left w:val="nil"/>
              <w:bottom w:val="nil"/>
              <w:right w:val="nil"/>
            </w:tcBorders>
            <w:shd w:val="clear" w:color="auto" w:fill="auto"/>
            <w:noWrap/>
            <w:vAlign w:val="center"/>
          </w:tcPr>
          <w:p w14:paraId="5B404A8F" w14:textId="0AD53525" w:rsidR="005E3506" w:rsidRPr="005D1027" w:rsidRDefault="001372B0" w:rsidP="0003014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A</w:t>
            </w:r>
            <w:r>
              <w:rPr>
                <w:rFonts w:ascii="Times New Roman" w:eastAsia="Times New Roman" w:hAnsi="Times New Roman" w:cs="Times New Roman"/>
                <w:i/>
                <w:iCs/>
                <w:color w:val="000000"/>
                <w:sz w:val="20"/>
                <w:szCs w:val="20"/>
                <w:lang w:eastAsia="en-NZ"/>
              </w:rPr>
              <w:t>EMR</w:t>
            </w:r>
          </w:p>
        </w:tc>
        <w:tc>
          <w:tcPr>
            <w:tcW w:w="8170" w:type="dxa"/>
            <w:tcBorders>
              <w:top w:val="nil"/>
              <w:left w:val="nil"/>
              <w:bottom w:val="nil"/>
              <w:right w:val="nil"/>
            </w:tcBorders>
            <w:shd w:val="clear" w:color="auto" w:fill="auto"/>
            <w:noWrap/>
            <w:vAlign w:val="center"/>
          </w:tcPr>
          <w:p w14:paraId="4C793195" w14:textId="3064835D" w:rsidR="005E3506" w:rsidRPr="005D1027" w:rsidRDefault="001372B0" w:rsidP="00030140">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 xml:space="preserve">Raw values of </w:t>
            </w:r>
            <w:r w:rsidRPr="001578CB">
              <w:rPr>
                <w:rFonts w:ascii="Times New Roman" w:eastAsia="Times New Roman" w:hAnsi="Times New Roman" w:cs="Times New Roman"/>
                <w:i/>
                <w:iCs/>
                <w:color w:val="000000"/>
                <w:sz w:val="20"/>
                <w:szCs w:val="20"/>
                <w:lang w:eastAsia="en-NZ"/>
              </w:rPr>
              <w:t>AEM</w:t>
            </w:r>
          </w:p>
        </w:tc>
      </w:tr>
      <w:tr w:rsidR="001372B0" w:rsidRPr="007E1190" w14:paraId="417E4D00" w14:textId="77777777" w:rsidTr="001578CB">
        <w:trPr>
          <w:trHeight w:val="80"/>
          <w:jc w:val="center"/>
        </w:trPr>
        <w:tc>
          <w:tcPr>
            <w:tcW w:w="1138" w:type="dxa"/>
            <w:tcBorders>
              <w:top w:val="nil"/>
              <w:left w:val="nil"/>
              <w:bottom w:val="nil"/>
              <w:right w:val="nil"/>
            </w:tcBorders>
            <w:shd w:val="clear" w:color="auto" w:fill="auto"/>
            <w:noWrap/>
            <w:vAlign w:val="center"/>
          </w:tcPr>
          <w:p w14:paraId="566E6FFE" w14:textId="56124678"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AGE</w:t>
            </w:r>
          </w:p>
        </w:tc>
        <w:tc>
          <w:tcPr>
            <w:tcW w:w="8170" w:type="dxa"/>
            <w:tcBorders>
              <w:top w:val="nil"/>
              <w:left w:val="nil"/>
              <w:bottom w:val="nil"/>
              <w:right w:val="nil"/>
            </w:tcBorders>
            <w:shd w:val="clear" w:color="auto" w:fill="auto"/>
            <w:noWrap/>
            <w:vAlign w:val="center"/>
          </w:tcPr>
          <w:p w14:paraId="65CB40B5" w14:textId="16263B45"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Natural logarithm of firm age from the date that it was listed.</w:t>
            </w:r>
          </w:p>
        </w:tc>
      </w:tr>
      <w:tr w:rsidR="001372B0" w:rsidRPr="007E1190" w14:paraId="47FB6940" w14:textId="77777777" w:rsidTr="001578CB">
        <w:trPr>
          <w:trHeight w:val="80"/>
          <w:jc w:val="center"/>
        </w:trPr>
        <w:tc>
          <w:tcPr>
            <w:tcW w:w="1138" w:type="dxa"/>
            <w:tcBorders>
              <w:top w:val="nil"/>
              <w:left w:val="nil"/>
              <w:bottom w:val="nil"/>
              <w:right w:val="nil"/>
            </w:tcBorders>
            <w:shd w:val="clear" w:color="auto" w:fill="auto"/>
            <w:noWrap/>
            <w:vAlign w:val="center"/>
          </w:tcPr>
          <w:p w14:paraId="747F57B4"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CAPEX</w:t>
            </w:r>
          </w:p>
        </w:tc>
        <w:tc>
          <w:tcPr>
            <w:tcW w:w="8170" w:type="dxa"/>
            <w:tcBorders>
              <w:top w:val="nil"/>
              <w:left w:val="nil"/>
              <w:bottom w:val="nil"/>
              <w:right w:val="nil"/>
            </w:tcBorders>
            <w:shd w:val="clear" w:color="auto" w:fill="auto"/>
            <w:noWrap/>
            <w:vAlign w:val="center"/>
          </w:tcPr>
          <w:p w14:paraId="54547AE4"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Natural logarithm of capital expenditures.</w:t>
            </w:r>
          </w:p>
        </w:tc>
      </w:tr>
      <w:tr w:rsidR="001372B0" w:rsidRPr="007E1190" w14:paraId="3EAA373A" w14:textId="77777777" w:rsidTr="001578CB">
        <w:trPr>
          <w:trHeight w:val="153"/>
          <w:jc w:val="center"/>
        </w:trPr>
        <w:tc>
          <w:tcPr>
            <w:tcW w:w="1138" w:type="dxa"/>
            <w:tcBorders>
              <w:top w:val="nil"/>
              <w:left w:val="nil"/>
              <w:bottom w:val="nil"/>
              <w:right w:val="nil"/>
            </w:tcBorders>
            <w:shd w:val="clear" w:color="auto" w:fill="auto"/>
            <w:noWrap/>
            <w:vAlign w:val="center"/>
          </w:tcPr>
          <w:p w14:paraId="13018FB9"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CASH</w:t>
            </w:r>
          </w:p>
        </w:tc>
        <w:tc>
          <w:tcPr>
            <w:tcW w:w="8170" w:type="dxa"/>
            <w:tcBorders>
              <w:top w:val="nil"/>
              <w:left w:val="nil"/>
              <w:bottom w:val="nil"/>
              <w:right w:val="nil"/>
            </w:tcBorders>
            <w:shd w:val="clear" w:color="auto" w:fill="auto"/>
            <w:noWrap/>
            <w:vAlign w:val="center"/>
          </w:tcPr>
          <w:p w14:paraId="3DF36D05"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Cash and short-term investments scaled by total assets.</w:t>
            </w:r>
          </w:p>
        </w:tc>
      </w:tr>
      <w:tr w:rsidR="001372B0" w:rsidRPr="007E1190" w14:paraId="70BA953F" w14:textId="77777777" w:rsidTr="001578CB">
        <w:trPr>
          <w:trHeight w:val="80"/>
          <w:jc w:val="center"/>
        </w:trPr>
        <w:tc>
          <w:tcPr>
            <w:tcW w:w="1138" w:type="dxa"/>
            <w:tcBorders>
              <w:top w:val="nil"/>
              <w:left w:val="nil"/>
              <w:bottom w:val="nil"/>
              <w:right w:val="nil"/>
            </w:tcBorders>
            <w:shd w:val="clear" w:color="auto" w:fill="auto"/>
            <w:noWrap/>
            <w:vAlign w:val="center"/>
          </w:tcPr>
          <w:p w14:paraId="231580D1" w14:textId="4057E1AF"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Pr>
                <w:rFonts w:ascii="Times New Roman" w:eastAsia="Times New Roman" w:hAnsi="Times New Roman" w:cs="Times New Roman"/>
                <w:i/>
                <w:iCs/>
                <w:color w:val="000000"/>
                <w:sz w:val="20"/>
                <w:szCs w:val="20"/>
                <w:lang w:eastAsia="en-NZ"/>
              </w:rPr>
              <w:t>LAW</w:t>
            </w:r>
          </w:p>
        </w:tc>
        <w:tc>
          <w:tcPr>
            <w:tcW w:w="8170" w:type="dxa"/>
            <w:vMerge w:val="restart"/>
            <w:tcBorders>
              <w:left w:val="nil"/>
              <w:right w:val="nil"/>
            </w:tcBorders>
            <w:shd w:val="clear" w:color="auto" w:fill="auto"/>
            <w:noWrap/>
            <w:vAlign w:val="center"/>
          </w:tcPr>
          <w:p w14:paraId="0AFB961D"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Governance measure which is an average of six indicators of the level of governance based on their estimates in a range from -2.5 for weak governance to 2.5 for strong governance (World Bank, 2019).</w:t>
            </w:r>
          </w:p>
        </w:tc>
      </w:tr>
      <w:tr w:rsidR="001372B0" w:rsidRPr="007E1190" w14:paraId="343B2E60" w14:textId="77777777" w:rsidTr="001578CB">
        <w:trPr>
          <w:trHeight w:val="80"/>
          <w:jc w:val="center"/>
        </w:trPr>
        <w:tc>
          <w:tcPr>
            <w:tcW w:w="1138" w:type="dxa"/>
            <w:tcBorders>
              <w:top w:val="nil"/>
              <w:left w:val="nil"/>
              <w:bottom w:val="nil"/>
              <w:right w:val="nil"/>
            </w:tcBorders>
            <w:shd w:val="clear" w:color="auto" w:fill="auto"/>
            <w:noWrap/>
            <w:vAlign w:val="center"/>
          </w:tcPr>
          <w:p w14:paraId="7AD7732E" w14:textId="77777777" w:rsidR="001372B0"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366AA4A5"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p>
        </w:tc>
      </w:tr>
      <w:tr w:rsidR="001372B0" w:rsidRPr="007E1190" w14:paraId="18D44414" w14:textId="77777777" w:rsidTr="001578CB">
        <w:trPr>
          <w:trHeight w:val="151"/>
          <w:jc w:val="center"/>
        </w:trPr>
        <w:tc>
          <w:tcPr>
            <w:tcW w:w="1138" w:type="dxa"/>
            <w:tcBorders>
              <w:top w:val="nil"/>
              <w:left w:val="nil"/>
              <w:bottom w:val="nil"/>
              <w:right w:val="nil"/>
            </w:tcBorders>
            <w:shd w:val="clear" w:color="auto" w:fill="auto"/>
            <w:noWrap/>
            <w:vAlign w:val="center"/>
          </w:tcPr>
          <w:p w14:paraId="40FC935D" w14:textId="77777777" w:rsidR="001372B0" w:rsidRPr="0039135E"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GDP</w:t>
            </w:r>
          </w:p>
        </w:tc>
        <w:tc>
          <w:tcPr>
            <w:tcW w:w="8170" w:type="dxa"/>
            <w:tcBorders>
              <w:left w:val="nil"/>
              <w:bottom w:val="nil"/>
              <w:right w:val="nil"/>
            </w:tcBorders>
            <w:shd w:val="clear" w:color="auto" w:fill="auto"/>
            <w:noWrap/>
            <w:vAlign w:val="center"/>
          </w:tcPr>
          <w:p w14:paraId="34AE2BD4"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Current year’s GDP minus previous year’s GDP scaled by previous year’s GDP.</w:t>
            </w:r>
          </w:p>
        </w:tc>
      </w:tr>
      <w:tr w:rsidR="001372B0" w:rsidRPr="007E1190" w14:paraId="73E489B4" w14:textId="77777777" w:rsidTr="001578CB">
        <w:trPr>
          <w:trHeight w:val="309"/>
          <w:jc w:val="center"/>
        </w:trPr>
        <w:tc>
          <w:tcPr>
            <w:tcW w:w="1138" w:type="dxa"/>
            <w:tcBorders>
              <w:top w:val="nil"/>
              <w:left w:val="nil"/>
              <w:bottom w:val="nil"/>
              <w:right w:val="nil"/>
            </w:tcBorders>
            <w:shd w:val="clear" w:color="auto" w:fill="auto"/>
            <w:noWrap/>
            <w:vAlign w:val="center"/>
          </w:tcPr>
          <w:p w14:paraId="22446180"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GFC</w:t>
            </w:r>
          </w:p>
        </w:tc>
        <w:tc>
          <w:tcPr>
            <w:tcW w:w="8170" w:type="dxa"/>
            <w:tcBorders>
              <w:left w:val="nil"/>
              <w:right w:val="nil"/>
            </w:tcBorders>
            <w:shd w:val="clear" w:color="auto" w:fill="auto"/>
            <w:noWrap/>
            <w:vAlign w:val="center"/>
          </w:tcPr>
          <w:p w14:paraId="345D21C0" w14:textId="74EF06CB"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 xml:space="preserve">Dummy variable </w:t>
            </w:r>
            <w:r w:rsidR="00E80AE6">
              <w:rPr>
                <w:rFonts w:ascii="Times New Roman" w:eastAsia="Times New Roman" w:hAnsi="Times New Roman" w:cs="Times New Roman"/>
                <w:color w:val="000000"/>
                <w:sz w:val="20"/>
                <w:szCs w:val="20"/>
                <w:lang w:eastAsia="en-NZ"/>
              </w:rPr>
              <w:t xml:space="preserve">is </w:t>
            </w:r>
            <w:r w:rsidRPr="005D1027">
              <w:rPr>
                <w:rFonts w:ascii="Times New Roman" w:eastAsia="Times New Roman" w:hAnsi="Times New Roman" w:cs="Times New Roman"/>
                <w:color w:val="000000"/>
                <w:sz w:val="20"/>
                <w:szCs w:val="20"/>
                <w:lang w:eastAsia="en-NZ"/>
              </w:rPr>
              <w:t>coded 1 if the observation occurs in 2008</w:t>
            </w:r>
            <w:r>
              <w:rPr>
                <w:rFonts w:ascii="Times New Roman" w:eastAsia="Times New Roman" w:hAnsi="Times New Roman" w:cs="Times New Roman"/>
                <w:color w:val="000000"/>
                <w:sz w:val="20"/>
                <w:szCs w:val="20"/>
                <w:lang w:eastAsia="en-NZ"/>
              </w:rPr>
              <w:t xml:space="preserve"> and 2009</w:t>
            </w:r>
            <w:r w:rsidRPr="005D1027">
              <w:rPr>
                <w:rFonts w:ascii="Times New Roman" w:eastAsia="Times New Roman" w:hAnsi="Times New Roman" w:cs="Times New Roman"/>
                <w:color w:val="000000"/>
                <w:sz w:val="20"/>
                <w:szCs w:val="20"/>
                <w:lang w:eastAsia="en-NZ"/>
              </w:rPr>
              <w:t xml:space="preserve"> and 0 otherwise.</w:t>
            </w:r>
          </w:p>
        </w:tc>
      </w:tr>
      <w:tr w:rsidR="001372B0" w:rsidRPr="007E1190" w14:paraId="19560F32" w14:textId="77777777" w:rsidTr="001578CB">
        <w:trPr>
          <w:trHeight w:val="307"/>
          <w:jc w:val="center"/>
        </w:trPr>
        <w:tc>
          <w:tcPr>
            <w:tcW w:w="1138" w:type="dxa"/>
            <w:tcBorders>
              <w:top w:val="nil"/>
              <w:left w:val="nil"/>
              <w:bottom w:val="nil"/>
              <w:right w:val="nil"/>
            </w:tcBorders>
            <w:shd w:val="clear" w:color="auto" w:fill="auto"/>
            <w:noWrap/>
            <w:vAlign w:val="center"/>
          </w:tcPr>
          <w:p w14:paraId="2183BF1F"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LEV</w:t>
            </w:r>
          </w:p>
        </w:tc>
        <w:tc>
          <w:tcPr>
            <w:tcW w:w="8170" w:type="dxa"/>
            <w:tcBorders>
              <w:left w:val="nil"/>
              <w:bottom w:val="nil"/>
              <w:right w:val="nil"/>
            </w:tcBorders>
            <w:shd w:val="clear" w:color="auto" w:fill="auto"/>
            <w:noWrap/>
            <w:vAlign w:val="center"/>
          </w:tcPr>
          <w:p w14:paraId="5647BE22"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Ratio of total debt to total assets.</w:t>
            </w:r>
          </w:p>
        </w:tc>
      </w:tr>
      <w:tr w:rsidR="001372B0" w:rsidRPr="007E1190" w14:paraId="4FA88ACE" w14:textId="77777777" w:rsidTr="001578CB">
        <w:trPr>
          <w:trHeight w:val="262"/>
          <w:jc w:val="center"/>
        </w:trPr>
        <w:tc>
          <w:tcPr>
            <w:tcW w:w="1138" w:type="dxa"/>
            <w:tcBorders>
              <w:top w:val="nil"/>
              <w:left w:val="nil"/>
              <w:bottom w:val="nil"/>
              <w:right w:val="nil"/>
            </w:tcBorders>
            <w:shd w:val="clear" w:color="auto" w:fill="auto"/>
            <w:noWrap/>
            <w:vAlign w:val="center"/>
          </w:tcPr>
          <w:p w14:paraId="1591B9C6"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MTB</w:t>
            </w:r>
          </w:p>
        </w:tc>
        <w:tc>
          <w:tcPr>
            <w:tcW w:w="8170" w:type="dxa"/>
            <w:tcBorders>
              <w:left w:val="nil"/>
              <w:right w:val="nil"/>
            </w:tcBorders>
            <w:shd w:val="clear" w:color="auto" w:fill="auto"/>
            <w:noWrap/>
            <w:vAlign w:val="center"/>
          </w:tcPr>
          <w:p w14:paraId="129094C8" w14:textId="77777777" w:rsidR="001372B0" w:rsidRPr="005D1027"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Common shares outstanding multiplied by price scaled by book value of equity.</w:t>
            </w:r>
          </w:p>
        </w:tc>
      </w:tr>
      <w:tr w:rsidR="001372B0" w:rsidRPr="007E1190" w14:paraId="50E6D2B4" w14:textId="77777777" w:rsidTr="001578CB">
        <w:trPr>
          <w:trHeight w:val="285"/>
          <w:jc w:val="center"/>
        </w:trPr>
        <w:tc>
          <w:tcPr>
            <w:tcW w:w="1138" w:type="dxa"/>
            <w:tcBorders>
              <w:top w:val="nil"/>
              <w:left w:val="nil"/>
              <w:right w:val="nil"/>
            </w:tcBorders>
            <w:shd w:val="clear" w:color="auto" w:fill="auto"/>
            <w:noWrap/>
            <w:vAlign w:val="center"/>
          </w:tcPr>
          <w:p w14:paraId="6AE107D1"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RAM</w:t>
            </w:r>
          </w:p>
        </w:tc>
        <w:tc>
          <w:tcPr>
            <w:tcW w:w="8170" w:type="dxa"/>
            <w:vMerge w:val="restart"/>
            <w:tcBorders>
              <w:left w:val="nil"/>
              <w:right w:val="nil"/>
            </w:tcBorders>
            <w:shd w:val="clear" w:color="auto" w:fill="auto"/>
            <w:noWrap/>
            <w:vAlign w:val="center"/>
          </w:tcPr>
          <w:p w14:paraId="131303DB" w14:textId="336CECA3" w:rsidR="001372B0" w:rsidRPr="00034046" w:rsidRDefault="001372B0" w:rsidP="001372B0">
            <w:pPr>
              <w:spacing w:after="0"/>
              <w:contextualSpacing/>
              <w:jc w:val="both"/>
              <w:rPr>
                <w:rFonts w:ascii="Times New Roman" w:eastAsia="Times New Roman" w:hAnsi="Times New Roman" w:cs="Times New Roman"/>
                <w:sz w:val="20"/>
                <w:szCs w:val="20"/>
                <w:lang w:val="en-GB" w:eastAsia="en-NZ"/>
              </w:rPr>
            </w:pPr>
            <w:r w:rsidRPr="00034046">
              <w:rPr>
                <w:rFonts w:ascii="Times New Roman" w:eastAsia="Times New Roman" w:hAnsi="Times New Roman" w:cs="Times New Roman"/>
                <w:color w:val="000000"/>
                <w:sz w:val="20"/>
                <w:szCs w:val="20"/>
                <w:lang w:eastAsia="en-NZ"/>
              </w:rPr>
              <w:t xml:space="preserve">Decile rank of </w:t>
            </w:r>
            <w:r w:rsidR="009B4663">
              <w:rPr>
                <w:rFonts w:ascii="Times New Roman" w:eastAsia="Times New Roman" w:hAnsi="Times New Roman" w:cs="Times New Roman"/>
                <w:color w:val="000000"/>
                <w:sz w:val="20"/>
                <w:szCs w:val="20"/>
                <w:lang w:eastAsia="en-NZ"/>
              </w:rPr>
              <w:t xml:space="preserve">the </w:t>
            </w:r>
            <w:r w:rsidRPr="00034046">
              <w:rPr>
                <w:rFonts w:ascii="Times New Roman" w:eastAsia="Times New Roman" w:hAnsi="Times New Roman" w:cs="Times New Roman"/>
                <w:color w:val="000000"/>
                <w:sz w:val="20"/>
                <w:szCs w:val="20"/>
                <w:lang w:eastAsia="en-NZ"/>
              </w:rPr>
              <w:t>sum of APROD (abnormal production costs) and ADISX*(1-) (abnormal discretionary expenditures) following Cohen and Zarowin (2010) and Roychowdhury (2006).</w:t>
            </w:r>
            <w:r w:rsidRPr="00034046">
              <w:rPr>
                <w:rFonts w:ascii="Times New Roman" w:eastAsia="Times New Roman" w:hAnsi="Times New Roman" w:cs="Times New Roman"/>
                <w:sz w:val="20"/>
                <w:szCs w:val="20"/>
                <w:lang w:val="en-GB" w:eastAsia="en-NZ"/>
              </w:rPr>
              <w:t xml:space="preserve"> To measure APROD</w:t>
            </w:r>
            <w:r w:rsidRPr="00034046">
              <w:rPr>
                <w:rFonts w:ascii="Times New Roman" w:eastAsia="Times New Roman" w:hAnsi="Times New Roman" w:cs="Times New Roman"/>
                <w:i/>
                <w:sz w:val="20"/>
                <w:szCs w:val="20"/>
                <w:lang w:val="en-GB" w:eastAsia="en-NZ"/>
              </w:rPr>
              <w:t>,</w:t>
            </w:r>
            <w:r w:rsidRPr="00034046">
              <w:rPr>
                <w:rFonts w:ascii="Times New Roman" w:eastAsia="Times New Roman" w:hAnsi="Times New Roman" w:cs="Times New Roman"/>
                <w:sz w:val="20"/>
                <w:szCs w:val="20"/>
                <w:lang w:val="en-GB" w:eastAsia="en-NZ"/>
              </w:rPr>
              <w:t xml:space="preserve"> we first estimate the normal level of production costs using equation (A.2) below, following the model developed by Roychowdhury (2006).</w:t>
            </w:r>
          </w:p>
          <w:p w14:paraId="3784025E" w14:textId="77777777" w:rsidR="001372B0" w:rsidRPr="00E1035D" w:rsidRDefault="001372B0" w:rsidP="001372B0">
            <w:pPr>
              <w:spacing w:after="0"/>
              <w:contextualSpacing/>
              <w:jc w:val="both"/>
              <w:rPr>
                <w:rFonts w:ascii="Times New Roman" w:eastAsia="Times New Roman" w:hAnsi="Times New Roman" w:cs="Times New Roman"/>
                <w:sz w:val="20"/>
                <w:szCs w:val="20"/>
                <w:lang w:val="en-GB" w:eastAsia="en-NZ"/>
              </w:rPr>
            </w:pPr>
          </w:p>
          <w:p w14:paraId="71A649FA" w14:textId="59DB1F63" w:rsidR="001372B0" w:rsidRPr="00034046" w:rsidRDefault="00000000" w:rsidP="001372B0">
            <w:pPr>
              <w:spacing w:before="240"/>
              <w:contextualSpacing/>
              <w:jc w:val="center"/>
              <w:rPr>
                <w:rFonts w:ascii="Times New Roman" w:eastAsia="Times New Roman" w:hAnsi="Times New Roman" w:cs="Times New Roman"/>
                <w:sz w:val="20"/>
                <w:szCs w:val="20"/>
                <w:lang w:val="en-GB" w:eastAsia="en-NZ"/>
              </w:rPr>
            </w:pPr>
            <m:oMath>
              <m:f>
                <m:fPr>
                  <m:ctrlPr>
                    <w:rPr>
                      <w:rFonts w:ascii="Cambria Math" w:eastAsia="Times New Roman" w:hAnsi="Cambria Math" w:cs="Times New Roman"/>
                      <w:i/>
                      <w:sz w:val="20"/>
                      <w:szCs w:val="20"/>
                      <w:lang w:val="en-GB" w:eastAsia="en-NZ"/>
                    </w:rPr>
                  </m:ctrlPr>
                </m:fPr>
                <m:num>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PROD</m:t>
                      </m:r>
                    </m:e>
                    <m:sub>
                      <m:r>
                        <w:rPr>
                          <w:rFonts w:ascii="Cambria Math" w:eastAsia="Times New Roman" w:hAnsi="Cambria Math" w:cs="Times New Roman"/>
                          <w:sz w:val="20"/>
                          <w:szCs w:val="20"/>
                          <w:lang w:val="en-GB" w:eastAsia="en-NZ"/>
                        </w:rPr>
                        <m:t>t</m:t>
                      </m:r>
                    </m:sub>
                  </m:sSub>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0</m:t>
                  </m:r>
                </m:sub>
              </m:sSub>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1</m:t>
                  </m:r>
                </m:sub>
              </m:sSub>
              <m:f>
                <m:fPr>
                  <m:ctrlPr>
                    <w:rPr>
                      <w:rFonts w:ascii="Cambria Math" w:eastAsia="Times New Roman" w:hAnsi="Cambria Math" w:cs="Times New Roman"/>
                      <w:i/>
                      <w:sz w:val="20"/>
                      <w:szCs w:val="20"/>
                      <w:lang w:val="en-GB" w:eastAsia="en-NZ"/>
                    </w:rPr>
                  </m:ctrlPr>
                </m:fPr>
                <m:num>
                  <m:r>
                    <w:rPr>
                      <w:rFonts w:ascii="Cambria Math" w:eastAsia="Times New Roman" w:hAnsi="Cambria Math" w:cs="Times New Roman"/>
                      <w:sz w:val="20"/>
                      <w:szCs w:val="20"/>
                      <w:lang w:val="en-GB" w:eastAsia="en-NZ"/>
                    </w:rPr>
                    <m:t>1</m:t>
                  </m:r>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2</m:t>
                  </m:r>
                </m:sub>
              </m:sSub>
              <m:f>
                <m:fPr>
                  <m:ctrlPr>
                    <w:rPr>
                      <w:rFonts w:ascii="Cambria Math" w:eastAsia="Times New Roman" w:hAnsi="Cambria Math" w:cs="Times New Roman"/>
                      <w:i/>
                      <w:sz w:val="20"/>
                      <w:szCs w:val="20"/>
                      <w:lang w:val="en-GB" w:eastAsia="en-NZ"/>
                    </w:rPr>
                  </m:ctrlPr>
                </m:fPr>
                <m:num>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Sales</m:t>
                      </m:r>
                    </m:e>
                    <m:sub>
                      <m:r>
                        <w:rPr>
                          <w:rFonts w:ascii="Cambria Math" w:eastAsia="Times New Roman" w:hAnsi="Cambria Math" w:cs="Times New Roman"/>
                          <w:sz w:val="20"/>
                          <w:szCs w:val="20"/>
                          <w:lang w:val="en-GB" w:eastAsia="en-NZ"/>
                        </w:rPr>
                        <m:t>t</m:t>
                      </m:r>
                    </m:sub>
                  </m:sSub>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3</m:t>
                  </m:r>
                </m:sub>
              </m:sSub>
              <m:f>
                <m:fPr>
                  <m:ctrlPr>
                    <w:rPr>
                      <w:rFonts w:ascii="Cambria Math" w:eastAsia="Times New Roman" w:hAnsi="Cambria Math" w:cs="Times New Roman"/>
                      <w:i/>
                      <w:sz w:val="20"/>
                      <w:szCs w:val="20"/>
                      <w:lang w:val="en-GB" w:eastAsia="en-NZ"/>
                    </w:rPr>
                  </m:ctrlPr>
                </m:fPr>
                <m:num>
                  <m:r>
                    <w:rPr>
                      <w:rFonts w:ascii="Cambria Math" w:eastAsia="Times New Roman" w:hAnsi="Cambria Math" w:cs="Times New Roman"/>
                      <w:sz w:val="20"/>
                      <w:szCs w:val="20"/>
                      <w:lang w:val="en-GB" w:eastAsia="en-NZ"/>
                    </w:rPr>
                    <m:t>∆</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Sales</m:t>
                      </m:r>
                    </m:e>
                    <m:sub>
                      <m:r>
                        <w:rPr>
                          <w:rFonts w:ascii="Cambria Math" w:eastAsia="Times New Roman" w:hAnsi="Cambria Math" w:cs="Times New Roman"/>
                          <w:sz w:val="20"/>
                          <w:szCs w:val="20"/>
                          <w:lang w:val="en-GB" w:eastAsia="en-NZ"/>
                        </w:rPr>
                        <m:t>t</m:t>
                      </m:r>
                    </m:sub>
                  </m:sSub>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4</m:t>
                  </m:r>
                </m:sub>
              </m:sSub>
              <m:f>
                <m:fPr>
                  <m:ctrlPr>
                    <w:rPr>
                      <w:rFonts w:ascii="Cambria Math" w:eastAsia="Times New Roman" w:hAnsi="Cambria Math" w:cs="Times New Roman"/>
                      <w:i/>
                      <w:sz w:val="20"/>
                      <w:szCs w:val="20"/>
                      <w:lang w:val="en-GB" w:eastAsia="en-NZ"/>
                    </w:rPr>
                  </m:ctrlPr>
                </m:fPr>
                <m:num>
                  <m:r>
                    <w:rPr>
                      <w:rFonts w:ascii="Cambria Math" w:eastAsia="Times New Roman" w:hAnsi="Cambria Math" w:cs="Times New Roman"/>
                      <w:sz w:val="20"/>
                      <w:szCs w:val="20"/>
                      <w:lang w:val="en-GB" w:eastAsia="en-NZ"/>
                    </w:rPr>
                    <m:t>∆</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Sales</m:t>
                      </m:r>
                    </m:e>
                    <m:sub>
                      <m:r>
                        <w:rPr>
                          <w:rFonts w:ascii="Cambria Math" w:eastAsia="Times New Roman" w:hAnsi="Cambria Math" w:cs="Times New Roman"/>
                          <w:sz w:val="20"/>
                          <w:szCs w:val="20"/>
                          <w:lang w:val="en-GB" w:eastAsia="en-NZ"/>
                        </w:rPr>
                        <m:t>t-1</m:t>
                      </m:r>
                    </m:sub>
                  </m:sSub>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r>
                <w:rPr>
                  <w:rFonts w:ascii="Cambria Math" w:eastAsia="Times New Roman" w:hAnsi="Cambria Math" w:cs="Times New Roman"/>
                  <w:sz w:val="20"/>
                  <w:szCs w:val="20"/>
                  <w:lang w:val="en-GB" w:eastAsia="en-NZ"/>
                </w:rPr>
                <m:t xml:space="preserve"> ,</m:t>
              </m:r>
            </m:oMath>
            <w:r w:rsidR="001372B0">
              <w:rPr>
                <w:rFonts w:ascii="Times New Roman" w:eastAsia="Times New Roman" w:hAnsi="Times New Roman" w:cs="Times New Roman"/>
                <w:sz w:val="20"/>
                <w:szCs w:val="20"/>
                <w:lang w:val="en-GB" w:eastAsia="en-NZ"/>
              </w:rPr>
              <w:t xml:space="preserve">              </w:t>
            </w:r>
            <w:r w:rsidR="001372B0" w:rsidRPr="00034046">
              <w:rPr>
                <w:rFonts w:ascii="Times New Roman" w:eastAsia="Times New Roman" w:hAnsi="Times New Roman" w:cs="Times New Roman"/>
                <w:sz w:val="20"/>
                <w:szCs w:val="20"/>
                <w:lang w:val="en-GB" w:eastAsia="en-NZ"/>
              </w:rPr>
              <w:t>(A.2)</w:t>
            </w:r>
          </w:p>
          <w:p w14:paraId="794F867E" w14:textId="77777777" w:rsidR="001372B0" w:rsidRPr="00E1035D" w:rsidRDefault="001372B0" w:rsidP="001372B0">
            <w:pPr>
              <w:spacing w:before="240"/>
              <w:contextualSpacing/>
              <w:jc w:val="center"/>
              <w:rPr>
                <w:rFonts w:ascii="Times New Roman" w:eastAsia="Times New Roman" w:hAnsi="Times New Roman" w:cs="Times New Roman"/>
                <w:sz w:val="20"/>
                <w:szCs w:val="20"/>
                <w:lang w:val="en-GB" w:eastAsia="en-NZ"/>
              </w:rPr>
            </w:pPr>
          </w:p>
          <w:p w14:paraId="6EE3568C" w14:textId="1C07A3C3" w:rsidR="001372B0" w:rsidRPr="00034046" w:rsidRDefault="001372B0" w:rsidP="001372B0">
            <w:pPr>
              <w:spacing w:before="240"/>
              <w:contextualSpacing/>
              <w:jc w:val="both"/>
              <w:rPr>
                <w:rFonts w:ascii="Times New Roman" w:eastAsia="Times New Roman" w:hAnsi="Times New Roman" w:cs="Times New Roman"/>
                <w:sz w:val="20"/>
                <w:szCs w:val="20"/>
                <w:lang w:val="en-GB" w:eastAsia="en-NZ"/>
              </w:rPr>
            </w:pPr>
            <w:r w:rsidRPr="00034046">
              <w:rPr>
                <w:rFonts w:ascii="Times New Roman" w:eastAsia="Times New Roman" w:hAnsi="Times New Roman" w:cs="Times New Roman"/>
                <w:sz w:val="20"/>
                <w:szCs w:val="20"/>
                <w:lang w:val="en-GB" w:eastAsia="en-NZ"/>
              </w:rPr>
              <w:t xml:space="preserve">where </w:t>
            </w:r>
            <m:oMath>
              <m:sSub>
                <m:sSubPr>
                  <m:ctrlPr>
                    <w:rPr>
                      <w:rFonts w:ascii="Cambria Math" w:eastAsia="Times New Roman" w:hAnsi="Cambria Math" w:cs="Times New Roman"/>
                      <w:i/>
                      <w:sz w:val="20"/>
                      <w:szCs w:val="20"/>
                      <w:lang w:val="en-GB" w:eastAsia="en-NZ"/>
                    </w:rPr>
                  </m:ctrlPr>
                </m:sSubPr>
                <m:e>
                  <m:r>
                    <m:rPr>
                      <m:sty m:val="p"/>
                    </m:rPr>
                    <w:rPr>
                      <w:rFonts w:ascii="Cambria Math" w:eastAsia="Times New Roman" w:hAnsi="Cambria Math" w:cs="Times New Roman"/>
                      <w:sz w:val="20"/>
                      <w:szCs w:val="20"/>
                      <w:lang w:val="en-GB" w:eastAsia="en-NZ"/>
                    </w:rPr>
                    <m:t>PROD</m:t>
                  </m:r>
                </m:e>
                <m:sub>
                  <m:r>
                    <w:rPr>
                      <w:rFonts w:ascii="Cambria Math" w:eastAsia="Times New Roman" w:hAnsi="Cambria Math" w:cs="Times New Roman"/>
                      <w:sz w:val="20"/>
                      <w:szCs w:val="20"/>
                      <w:lang w:val="en-GB" w:eastAsia="en-NZ"/>
                    </w:rPr>
                    <m:t>t</m:t>
                  </m:r>
                </m:sub>
              </m:sSub>
            </m:oMath>
            <w:r w:rsidRPr="00034046">
              <w:rPr>
                <w:rFonts w:ascii="Times New Roman" w:eastAsia="Times New Roman" w:hAnsi="Times New Roman" w:cs="Times New Roman"/>
                <w:sz w:val="20"/>
                <w:szCs w:val="20"/>
                <w:lang w:val="en-GB" w:eastAsia="en-NZ"/>
              </w:rPr>
              <w:t xml:space="preserve"> is the sum of the cost of goods sold in year </w:t>
            </w:r>
            <w:r w:rsidRPr="00034046">
              <w:rPr>
                <w:rFonts w:ascii="Times New Roman" w:eastAsia="Times New Roman" w:hAnsi="Times New Roman" w:cs="Times New Roman"/>
                <w:i/>
                <w:sz w:val="20"/>
                <w:szCs w:val="20"/>
                <w:lang w:val="en-GB" w:eastAsia="en-NZ"/>
              </w:rPr>
              <w:t>t</w:t>
            </w:r>
            <w:r w:rsidRPr="00034046">
              <w:rPr>
                <w:rFonts w:ascii="Times New Roman" w:eastAsia="Times New Roman" w:hAnsi="Times New Roman" w:cs="Times New Roman"/>
                <w:sz w:val="20"/>
                <w:szCs w:val="20"/>
                <w:lang w:val="en-GB" w:eastAsia="en-NZ"/>
              </w:rPr>
              <w:t xml:space="preserve"> and the change in inventory from </w:t>
            </w:r>
            <m:oMath>
              <m:r>
                <w:rPr>
                  <w:rFonts w:ascii="Cambria Math" w:eastAsia="Times New Roman" w:hAnsi="Cambria Math" w:cs="Times New Roman"/>
                  <w:sz w:val="20"/>
                  <w:szCs w:val="20"/>
                  <w:lang w:val="en-GB" w:eastAsia="en-NZ"/>
                </w:rPr>
                <m:t>t-1</m:t>
              </m:r>
            </m:oMath>
            <w:r w:rsidRPr="00034046">
              <w:rPr>
                <w:rFonts w:ascii="Times New Roman" w:eastAsia="Times New Roman" w:hAnsi="Times New Roman" w:cs="Times New Roman"/>
                <w:sz w:val="20"/>
                <w:szCs w:val="20"/>
                <w:lang w:val="en-GB" w:eastAsia="en-NZ"/>
              </w:rPr>
              <w:t xml:space="preserve"> to </w:t>
            </w:r>
            <m:oMath>
              <m:r>
                <w:rPr>
                  <w:rFonts w:ascii="Cambria Math" w:eastAsia="Times New Roman" w:hAnsi="Cambria Math" w:cs="Times New Roman"/>
                  <w:sz w:val="20"/>
                  <w:szCs w:val="20"/>
                  <w:lang w:val="en-GB" w:eastAsia="en-NZ"/>
                </w:rPr>
                <m:t>t</m:t>
              </m:r>
            </m:oMath>
            <w:r w:rsidRPr="00034046">
              <w:rPr>
                <w:rFonts w:ascii="Times New Roman" w:eastAsia="Times New Roman" w:hAnsi="Times New Roman" w:cs="Times New Roman"/>
                <w:sz w:val="20"/>
                <w:szCs w:val="20"/>
                <w:lang w:val="en-GB" w:eastAsia="en-NZ"/>
              </w:rPr>
              <w:t xml:space="preserve">, </w:t>
            </w:r>
            <m:oMath>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oMath>
            <w:r w:rsidRPr="00034046">
              <w:rPr>
                <w:rFonts w:ascii="Times New Roman" w:eastAsia="Times New Roman" w:hAnsi="Times New Roman" w:cs="Times New Roman"/>
                <w:sz w:val="20"/>
                <w:szCs w:val="20"/>
                <w:lang w:val="en-GB" w:eastAsia="en-NZ"/>
              </w:rPr>
              <w:t xml:space="preserve"> is the total assets in year </w:t>
            </w:r>
            <m:oMath>
              <m:r>
                <w:rPr>
                  <w:rFonts w:ascii="Cambria Math" w:eastAsia="Times New Roman" w:hAnsi="Cambria Math" w:cs="Times New Roman"/>
                  <w:sz w:val="20"/>
                  <w:szCs w:val="20"/>
                  <w:lang w:val="en-GB" w:eastAsia="en-NZ"/>
                </w:rPr>
                <m:t>t-1</m:t>
              </m:r>
            </m:oMath>
            <w:r w:rsidRPr="00034046">
              <w:rPr>
                <w:rFonts w:ascii="Times New Roman" w:eastAsia="Times New Roman" w:hAnsi="Times New Roman" w:cs="Times New Roman"/>
                <w:sz w:val="20"/>
                <w:szCs w:val="20"/>
                <w:lang w:val="en-GB" w:eastAsia="en-NZ"/>
              </w:rPr>
              <w:t xml:space="preserve">, </w:t>
            </w:r>
            <m:oMath>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Sales</m:t>
                  </m:r>
                </m:e>
                <m:sub>
                  <m:r>
                    <w:rPr>
                      <w:rFonts w:ascii="Cambria Math" w:eastAsia="Times New Roman" w:hAnsi="Cambria Math" w:cs="Times New Roman"/>
                      <w:sz w:val="20"/>
                      <w:szCs w:val="20"/>
                      <w:lang w:val="en-GB" w:eastAsia="en-NZ"/>
                    </w:rPr>
                    <m:t>t</m:t>
                  </m:r>
                </m:sub>
              </m:sSub>
            </m:oMath>
            <w:r w:rsidRPr="00034046">
              <w:rPr>
                <w:rFonts w:ascii="Times New Roman" w:eastAsia="Times New Roman" w:hAnsi="Times New Roman" w:cs="Times New Roman"/>
                <w:sz w:val="20"/>
                <w:szCs w:val="20"/>
                <w:lang w:val="en-GB" w:eastAsia="en-NZ"/>
              </w:rPr>
              <w:t xml:space="preserve"> is the net sales in year </w:t>
            </w:r>
            <m:oMath>
              <m:r>
                <w:rPr>
                  <w:rFonts w:ascii="Cambria Math" w:eastAsia="Times New Roman" w:hAnsi="Cambria Math" w:cs="Times New Roman"/>
                  <w:sz w:val="20"/>
                  <w:szCs w:val="20"/>
                  <w:lang w:val="en-GB" w:eastAsia="en-NZ"/>
                </w:rPr>
                <m:t>t</m:t>
              </m:r>
            </m:oMath>
            <w:r w:rsidRPr="00034046">
              <w:rPr>
                <w:rFonts w:ascii="Times New Roman" w:eastAsia="Times New Roman" w:hAnsi="Times New Roman" w:cs="Times New Roman"/>
                <w:sz w:val="20"/>
                <w:szCs w:val="20"/>
                <w:lang w:val="en-GB" w:eastAsia="en-NZ"/>
              </w:rPr>
              <w:t xml:space="preserve">, </w:t>
            </w:r>
            <m:oMath>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∆Sales</m:t>
                  </m:r>
                </m:e>
                <m:sub>
                  <m:r>
                    <w:rPr>
                      <w:rFonts w:ascii="Cambria Math" w:eastAsia="Times New Roman" w:hAnsi="Cambria Math" w:cs="Times New Roman"/>
                      <w:sz w:val="20"/>
                      <w:szCs w:val="20"/>
                      <w:lang w:val="en-GB" w:eastAsia="en-NZ"/>
                    </w:rPr>
                    <m:t>t</m:t>
                  </m:r>
                </m:sub>
              </m:sSub>
            </m:oMath>
            <w:r w:rsidRPr="00034046">
              <w:rPr>
                <w:rFonts w:ascii="Times New Roman" w:eastAsia="Times New Roman" w:hAnsi="Times New Roman" w:cs="Times New Roman"/>
                <w:sz w:val="20"/>
                <w:szCs w:val="20"/>
                <w:lang w:val="en-GB" w:eastAsia="en-NZ"/>
              </w:rPr>
              <w:t xml:space="preserve"> is the change in net sales from year </w:t>
            </w:r>
            <m:oMath>
              <m:r>
                <w:rPr>
                  <w:rFonts w:ascii="Cambria Math" w:eastAsia="Times New Roman" w:hAnsi="Cambria Math" w:cs="Times New Roman"/>
                  <w:sz w:val="20"/>
                  <w:szCs w:val="20"/>
                  <w:lang w:val="en-GB" w:eastAsia="en-NZ"/>
                </w:rPr>
                <m:t>t-1</m:t>
              </m:r>
            </m:oMath>
            <w:r w:rsidRPr="00034046">
              <w:rPr>
                <w:rFonts w:ascii="Times New Roman" w:eastAsia="Times New Roman" w:hAnsi="Times New Roman" w:cs="Times New Roman"/>
                <w:sz w:val="20"/>
                <w:szCs w:val="20"/>
                <w:lang w:val="en-GB" w:eastAsia="en-NZ"/>
              </w:rPr>
              <w:t xml:space="preserve"> to </w:t>
            </w:r>
            <m:oMath>
              <m:r>
                <w:rPr>
                  <w:rFonts w:ascii="Cambria Math" w:eastAsia="Times New Roman" w:hAnsi="Cambria Math" w:cs="Times New Roman"/>
                  <w:sz w:val="20"/>
                  <w:szCs w:val="20"/>
                  <w:lang w:val="en-GB" w:eastAsia="en-NZ"/>
                </w:rPr>
                <m:t>t</m:t>
              </m:r>
            </m:oMath>
            <w:r w:rsidRPr="00034046">
              <w:rPr>
                <w:rFonts w:ascii="Times New Roman" w:eastAsia="Times New Roman" w:hAnsi="Times New Roman" w:cs="Times New Roman"/>
                <w:sz w:val="20"/>
                <w:szCs w:val="20"/>
                <w:lang w:val="en-GB" w:eastAsia="en-NZ"/>
              </w:rPr>
              <w:t>. Equation (A.2) is estimated cross-sectionally for each industry-year with at least 10 observations. The abnormal levels of discretionary production PROD is measured as the estimated residual</w:t>
            </w:r>
            <w:r>
              <w:rPr>
                <w:rFonts w:ascii="Times New Roman" w:eastAsia="Times New Roman" w:hAnsi="Times New Roman" w:cs="Times New Roman"/>
                <w:sz w:val="20"/>
                <w:szCs w:val="20"/>
                <w:lang w:val="en-GB" w:eastAsia="en-NZ"/>
              </w:rPr>
              <w:t>s</w:t>
            </w:r>
            <w:r w:rsidRPr="00034046">
              <w:rPr>
                <w:rFonts w:ascii="Times New Roman" w:eastAsia="Times New Roman" w:hAnsi="Times New Roman" w:cs="Times New Roman"/>
                <w:sz w:val="20"/>
                <w:szCs w:val="20"/>
                <w:lang w:val="en-GB" w:eastAsia="en-NZ"/>
              </w:rPr>
              <w:t xml:space="preserve"> from the regression.</w:t>
            </w:r>
          </w:p>
          <w:p w14:paraId="227C2B34" w14:textId="7362ABD5" w:rsidR="001372B0" w:rsidRPr="00034046" w:rsidRDefault="001372B0" w:rsidP="001372B0">
            <w:pPr>
              <w:contextualSpacing/>
              <w:jc w:val="both"/>
              <w:rPr>
                <w:rFonts w:ascii="Times New Roman" w:eastAsia="Times New Roman" w:hAnsi="Times New Roman" w:cs="Times New Roman"/>
                <w:sz w:val="20"/>
                <w:szCs w:val="20"/>
                <w:lang w:val="en-GB" w:eastAsia="en-NZ"/>
              </w:rPr>
            </w:pPr>
            <w:r w:rsidRPr="00034046">
              <w:rPr>
                <w:rFonts w:ascii="Times New Roman" w:eastAsia="Times New Roman" w:hAnsi="Times New Roman" w:cs="Times New Roman"/>
                <w:sz w:val="20"/>
                <w:szCs w:val="20"/>
                <w:lang w:val="en-GB" w:eastAsia="en-NZ"/>
              </w:rPr>
              <w:t xml:space="preserve">Similarly, following Roychowdhury (2006), we first measure the normal level of discretionary expenses (ADISX) using equation (A.3) below. </w:t>
            </w:r>
          </w:p>
          <w:p w14:paraId="10922490" w14:textId="77777777" w:rsidR="001372B0" w:rsidRPr="00034046" w:rsidRDefault="001372B0" w:rsidP="001372B0">
            <w:pPr>
              <w:contextualSpacing/>
              <w:jc w:val="both"/>
              <w:rPr>
                <w:rFonts w:ascii="Times New Roman" w:eastAsia="Times New Roman" w:hAnsi="Times New Roman" w:cs="Times New Roman"/>
                <w:sz w:val="20"/>
                <w:szCs w:val="20"/>
                <w:lang w:val="en-GB" w:eastAsia="en-NZ"/>
              </w:rPr>
            </w:pPr>
          </w:p>
          <w:p w14:paraId="51916467" w14:textId="77777777" w:rsidR="001372B0" w:rsidRPr="00034046" w:rsidRDefault="00000000" w:rsidP="001372B0">
            <w:pPr>
              <w:contextualSpacing/>
              <w:jc w:val="center"/>
              <w:rPr>
                <w:rFonts w:ascii="Times New Roman" w:eastAsia="Times New Roman" w:hAnsi="Times New Roman" w:cs="Times New Roman"/>
                <w:sz w:val="20"/>
                <w:szCs w:val="20"/>
                <w:lang w:val="en-GB" w:eastAsia="en-NZ"/>
              </w:rPr>
            </w:pPr>
            <m:oMath>
              <m:f>
                <m:fPr>
                  <m:ctrlPr>
                    <w:rPr>
                      <w:rFonts w:ascii="Cambria Math" w:eastAsia="Times New Roman" w:hAnsi="Cambria Math" w:cs="Times New Roman"/>
                      <w:i/>
                      <w:sz w:val="20"/>
                      <w:szCs w:val="20"/>
                      <w:lang w:val="en-GB" w:eastAsia="en-NZ"/>
                    </w:rPr>
                  </m:ctrlPr>
                </m:fPr>
                <m:num>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DISX</m:t>
                      </m:r>
                    </m:e>
                    <m:sub>
                      <m:r>
                        <w:rPr>
                          <w:rFonts w:ascii="Cambria Math" w:eastAsia="Times New Roman" w:hAnsi="Cambria Math" w:cs="Times New Roman"/>
                          <w:sz w:val="20"/>
                          <w:szCs w:val="20"/>
                          <w:lang w:val="en-GB" w:eastAsia="en-NZ"/>
                        </w:rPr>
                        <m:t>t</m:t>
                      </m:r>
                    </m:sub>
                  </m:sSub>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m:t>
                      </m:r>
                    </m:sub>
                  </m:sSub>
                </m:den>
              </m:f>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0</m:t>
                  </m:r>
                </m:sub>
              </m:sSub>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1</m:t>
                  </m:r>
                </m:sub>
              </m:sSub>
              <m:f>
                <m:fPr>
                  <m:ctrlPr>
                    <w:rPr>
                      <w:rFonts w:ascii="Cambria Math" w:eastAsia="Times New Roman" w:hAnsi="Cambria Math" w:cs="Times New Roman"/>
                      <w:i/>
                      <w:sz w:val="20"/>
                      <w:szCs w:val="20"/>
                      <w:lang w:val="en-GB" w:eastAsia="en-NZ"/>
                    </w:rPr>
                  </m:ctrlPr>
                </m:fPr>
                <m:num>
                  <m:r>
                    <w:rPr>
                      <w:rFonts w:ascii="Cambria Math" w:eastAsia="Times New Roman" w:hAnsi="Cambria Math" w:cs="Times New Roman"/>
                      <w:sz w:val="20"/>
                      <w:szCs w:val="20"/>
                      <w:lang w:val="en-GB" w:eastAsia="en-NZ"/>
                    </w:rPr>
                    <m:t>1</m:t>
                  </m:r>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r>
                <w:rPr>
                  <w:rFonts w:ascii="Cambria Math" w:eastAsia="Times New Roman" w:hAnsi="Cambria Math" w:cs="Times New Roman"/>
                  <w:sz w:val="20"/>
                  <w:szCs w:val="20"/>
                  <w:lang w:val="en-GB" w:eastAsia="en-NZ"/>
                </w:rPr>
                <m:t xml:space="preserve">+ </m:t>
              </m:r>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α</m:t>
                  </m:r>
                </m:e>
                <m:sub>
                  <m:r>
                    <w:rPr>
                      <w:rFonts w:ascii="Cambria Math" w:eastAsia="Times New Roman" w:hAnsi="Cambria Math" w:cs="Times New Roman"/>
                      <w:sz w:val="20"/>
                      <w:szCs w:val="20"/>
                      <w:lang w:val="en-GB" w:eastAsia="en-NZ"/>
                    </w:rPr>
                    <m:t>2</m:t>
                  </m:r>
                </m:sub>
              </m:sSub>
              <m:f>
                <m:fPr>
                  <m:ctrlPr>
                    <w:rPr>
                      <w:rFonts w:ascii="Cambria Math" w:eastAsia="Times New Roman" w:hAnsi="Cambria Math" w:cs="Times New Roman"/>
                      <w:i/>
                      <w:sz w:val="20"/>
                      <w:szCs w:val="20"/>
                      <w:lang w:val="en-GB" w:eastAsia="en-NZ"/>
                    </w:rPr>
                  </m:ctrlPr>
                </m:fPr>
                <m:num>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Sales</m:t>
                      </m:r>
                    </m:e>
                    <m:sub>
                      <m:r>
                        <w:rPr>
                          <w:rFonts w:ascii="Cambria Math" w:eastAsia="Times New Roman" w:hAnsi="Cambria Math" w:cs="Times New Roman"/>
                          <w:sz w:val="20"/>
                          <w:szCs w:val="20"/>
                          <w:lang w:val="en-GB" w:eastAsia="en-NZ"/>
                        </w:rPr>
                        <m:t>t-1</m:t>
                      </m:r>
                    </m:sub>
                  </m:sSub>
                </m:num>
                <m:den>
                  <m:sSub>
                    <m:sSubPr>
                      <m:ctrlPr>
                        <w:rPr>
                          <w:rFonts w:ascii="Cambria Math" w:eastAsia="Times New Roman" w:hAnsi="Cambria Math" w:cs="Times New Roman"/>
                          <w:i/>
                          <w:sz w:val="20"/>
                          <w:szCs w:val="20"/>
                          <w:lang w:val="en-GB" w:eastAsia="en-NZ"/>
                        </w:rPr>
                      </m:ctrlPr>
                    </m:sSubPr>
                    <m:e>
                      <m:r>
                        <w:rPr>
                          <w:rFonts w:ascii="Cambria Math" w:eastAsia="Times New Roman" w:hAnsi="Cambria Math" w:cs="Times New Roman"/>
                          <w:sz w:val="20"/>
                          <w:szCs w:val="20"/>
                          <w:lang w:val="en-GB" w:eastAsia="en-NZ"/>
                        </w:rPr>
                        <m:t>A</m:t>
                      </m:r>
                    </m:e>
                    <m:sub>
                      <m:r>
                        <w:rPr>
                          <w:rFonts w:ascii="Cambria Math" w:eastAsia="Times New Roman" w:hAnsi="Cambria Math" w:cs="Times New Roman"/>
                          <w:sz w:val="20"/>
                          <w:szCs w:val="20"/>
                          <w:lang w:val="en-GB" w:eastAsia="en-NZ"/>
                        </w:rPr>
                        <m:t>t-1</m:t>
                      </m:r>
                    </m:sub>
                  </m:sSub>
                </m:den>
              </m:f>
            </m:oMath>
            <w:r w:rsidR="001372B0" w:rsidRPr="00034046">
              <w:rPr>
                <w:rFonts w:ascii="Times New Roman" w:eastAsia="Times New Roman" w:hAnsi="Times New Roman" w:cs="Times New Roman"/>
                <w:sz w:val="20"/>
                <w:szCs w:val="20"/>
                <w:lang w:val="en-GB" w:eastAsia="en-NZ"/>
              </w:rPr>
              <w:t>…………….…………...…….. (A.3)</w:t>
            </w:r>
          </w:p>
          <w:p w14:paraId="51C5B72E" w14:textId="77777777" w:rsidR="001372B0" w:rsidRPr="00034046" w:rsidRDefault="001372B0" w:rsidP="001372B0">
            <w:pPr>
              <w:spacing w:after="0" w:line="240" w:lineRule="auto"/>
              <w:contextualSpacing/>
              <w:jc w:val="both"/>
              <w:rPr>
                <w:rFonts w:ascii="Times New Roman" w:eastAsia="Times New Roman" w:hAnsi="Times New Roman" w:cs="Times New Roman"/>
                <w:sz w:val="20"/>
                <w:szCs w:val="20"/>
                <w:lang w:val="en-GB" w:eastAsia="en-NZ"/>
              </w:rPr>
            </w:pPr>
          </w:p>
          <w:p w14:paraId="55F5C72C" w14:textId="567ABC84" w:rsidR="001372B0" w:rsidRPr="00034046" w:rsidRDefault="001372B0" w:rsidP="001372B0">
            <w:pPr>
              <w:spacing w:after="0" w:line="240" w:lineRule="auto"/>
              <w:jc w:val="both"/>
              <w:rPr>
                <w:rFonts w:ascii="Times New Roman" w:eastAsia="Times New Roman" w:hAnsi="Times New Roman" w:cs="Times New Roman"/>
                <w:color w:val="000000"/>
                <w:sz w:val="20"/>
                <w:szCs w:val="20"/>
                <w:lang w:eastAsia="en-NZ"/>
              </w:rPr>
            </w:pPr>
            <w:r w:rsidRPr="003A487B">
              <w:rPr>
                <w:rFonts w:ascii="Times New Roman" w:eastAsia="Calibri" w:hAnsi="Times New Roman" w:cs="Times New Roman"/>
                <w:sz w:val="20"/>
                <w:szCs w:val="20"/>
                <w:lang w:val="en-GB" w:eastAsia="en-NZ"/>
              </w:rPr>
              <w:t xml:space="preserve">where </w:t>
            </w:r>
            <m:oMath>
              <m:sSub>
                <m:sSubPr>
                  <m:ctrlPr>
                    <w:rPr>
                      <w:rFonts w:ascii="Cambria Math" w:eastAsia="Calibri" w:hAnsi="Cambria Math" w:cs="Times New Roman"/>
                      <w:i/>
                      <w:sz w:val="20"/>
                      <w:szCs w:val="20"/>
                      <w:lang w:val="en-GB" w:eastAsia="en-NZ"/>
                    </w:rPr>
                  </m:ctrlPr>
                </m:sSubPr>
                <m:e>
                  <m:r>
                    <w:rPr>
                      <w:rFonts w:ascii="Cambria Math" w:eastAsia="Calibri" w:hAnsi="Cambria Math" w:cs="Times New Roman"/>
                      <w:sz w:val="20"/>
                      <w:szCs w:val="20"/>
                      <w:lang w:val="en-GB" w:eastAsia="en-NZ"/>
                    </w:rPr>
                    <m:t>DISX</m:t>
                  </m:r>
                </m:e>
                <m:sub>
                  <m:r>
                    <w:rPr>
                      <w:rFonts w:ascii="Cambria Math" w:eastAsia="Calibri" w:hAnsi="Cambria Math" w:cs="Times New Roman"/>
                      <w:sz w:val="20"/>
                      <w:szCs w:val="20"/>
                      <w:lang w:val="en-GB" w:eastAsia="en-NZ"/>
                    </w:rPr>
                    <m:t>t</m:t>
                  </m:r>
                </m:sub>
              </m:sSub>
            </m:oMath>
            <w:r w:rsidRPr="003A487B">
              <w:rPr>
                <w:rFonts w:ascii="Times New Roman" w:eastAsia="Calibri" w:hAnsi="Times New Roman" w:cs="Times New Roman"/>
                <w:sz w:val="20"/>
                <w:szCs w:val="20"/>
                <w:lang w:val="en-GB" w:eastAsia="en-NZ"/>
              </w:rPr>
              <w:t xml:space="preserve"> is the discretionary expenses (i.e., the sum of R</w:t>
            </w:r>
            <w:r w:rsidR="00EF7235">
              <w:rPr>
                <w:rFonts w:ascii="Times New Roman" w:eastAsia="Calibri" w:hAnsi="Times New Roman" w:cs="Times New Roman"/>
                <w:sz w:val="20"/>
                <w:szCs w:val="20"/>
                <w:lang w:val="en-GB" w:eastAsia="en-NZ"/>
              </w:rPr>
              <w:t>&amp;</w:t>
            </w:r>
            <w:r w:rsidRPr="003A487B">
              <w:rPr>
                <w:rFonts w:ascii="Times New Roman" w:eastAsia="Calibri" w:hAnsi="Times New Roman" w:cs="Times New Roman"/>
                <w:sz w:val="20"/>
                <w:szCs w:val="20"/>
                <w:lang w:val="en-GB" w:eastAsia="en-NZ"/>
              </w:rPr>
              <w:t>D, advertising, and SG</w:t>
            </w:r>
            <w:r w:rsidR="00EF7235">
              <w:rPr>
                <w:rFonts w:ascii="Times New Roman" w:eastAsia="Calibri" w:hAnsi="Times New Roman" w:cs="Times New Roman"/>
                <w:sz w:val="20"/>
                <w:szCs w:val="20"/>
                <w:lang w:val="en-GB" w:eastAsia="en-NZ"/>
              </w:rPr>
              <w:t>&amp;</w:t>
            </w:r>
            <w:r w:rsidRPr="003A487B">
              <w:rPr>
                <w:rFonts w:ascii="Times New Roman" w:eastAsia="Calibri" w:hAnsi="Times New Roman" w:cs="Times New Roman"/>
                <w:sz w:val="20"/>
                <w:szCs w:val="20"/>
                <w:lang w:val="en-GB" w:eastAsia="en-NZ"/>
              </w:rPr>
              <w:t xml:space="preserve">A expenditure) in year </w:t>
            </w:r>
            <m:oMath>
              <m:r>
                <w:rPr>
                  <w:rFonts w:ascii="Cambria Math" w:eastAsia="Calibri" w:hAnsi="Cambria Math" w:cs="Times New Roman"/>
                  <w:sz w:val="20"/>
                  <w:szCs w:val="20"/>
                  <w:lang w:val="en-GB" w:eastAsia="en-NZ"/>
                </w:rPr>
                <m:t>t</m:t>
              </m:r>
            </m:oMath>
            <w:r w:rsidRPr="003A487B">
              <w:rPr>
                <w:rFonts w:ascii="Times New Roman" w:eastAsia="Calibri" w:hAnsi="Times New Roman" w:cs="Times New Roman"/>
                <w:sz w:val="20"/>
                <w:szCs w:val="20"/>
                <w:lang w:val="en-GB" w:eastAsia="en-NZ"/>
              </w:rPr>
              <w:t>. We estimate equation (A.3) cross-sectionally for industry-years with at least 1</w:t>
            </w:r>
            <w:r>
              <w:rPr>
                <w:rFonts w:ascii="Times New Roman" w:eastAsia="Calibri" w:hAnsi="Times New Roman" w:cs="Times New Roman"/>
                <w:sz w:val="20"/>
                <w:szCs w:val="20"/>
                <w:lang w:val="en-GB" w:eastAsia="en-NZ"/>
              </w:rPr>
              <w:t>0</w:t>
            </w:r>
            <w:r w:rsidRPr="003A487B">
              <w:rPr>
                <w:rFonts w:ascii="Times New Roman" w:eastAsia="Calibri" w:hAnsi="Times New Roman" w:cs="Times New Roman"/>
                <w:sz w:val="20"/>
                <w:szCs w:val="20"/>
                <w:lang w:val="en-GB" w:eastAsia="en-NZ"/>
              </w:rPr>
              <w:t xml:space="preserve"> observations. The abnormal level of DISX is the estimated residual</w:t>
            </w:r>
            <w:r>
              <w:rPr>
                <w:rFonts w:ascii="Times New Roman" w:eastAsia="Calibri" w:hAnsi="Times New Roman" w:cs="Times New Roman"/>
                <w:sz w:val="20"/>
                <w:szCs w:val="20"/>
                <w:lang w:val="en-GB" w:eastAsia="en-NZ"/>
              </w:rPr>
              <w:t>s</w:t>
            </w:r>
            <w:r w:rsidRPr="003A487B">
              <w:rPr>
                <w:rFonts w:ascii="Times New Roman" w:eastAsia="Calibri" w:hAnsi="Times New Roman" w:cs="Times New Roman"/>
                <w:sz w:val="20"/>
                <w:szCs w:val="20"/>
                <w:lang w:val="en-GB" w:eastAsia="en-NZ"/>
              </w:rPr>
              <w:t xml:space="preserve"> from the regression. We multiply the residuals by -1 so that the higher values indicate greater amounts of discretionary expenses cut down and, hence, higher R</w:t>
            </w:r>
            <w:r>
              <w:rPr>
                <w:rFonts w:ascii="Times New Roman" w:eastAsia="Calibri" w:hAnsi="Times New Roman" w:cs="Times New Roman"/>
                <w:sz w:val="20"/>
                <w:szCs w:val="20"/>
                <w:lang w:val="en-GB" w:eastAsia="en-NZ"/>
              </w:rPr>
              <w:t>A</w:t>
            </w:r>
            <w:r w:rsidRPr="003A487B">
              <w:rPr>
                <w:rFonts w:ascii="Times New Roman" w:eastAsia="Calibri" w:hAnsi="Times New Roman" w:cs="Times New Roman"/>
                <w:sz w:val="20"/>
                <w:szCs w:val="20"/>
                <w:lang w:val="en-GB" w:eastAsia="en-NZ"/>
              </w:rPr>
              <w:t>M.</w:t>
            </w:r>
          </w:p>
        </w:tc>
      </w:tr>
      <w:tr w:rsidR="001372B0" w:rsidRPr="007E1190" w14:paraId="1D08C646" w14:textId="77777777" w:rsidTr="001578CB">
        <w:trPr>
          <w:trHeight w:val="285"/>
          <w:jc w:val="center"/>
        </w:trPr>
        <w:tc>
          <w:tcPr>
            <w:tcW w:w="1138" w:type="dxa"/>
            <w:tcBorders>
              <w:top w:val="nil"/>
              <w:left w:val="nil"/>
              <w:right w:val="nil"/>
            </w:tcBorders>
            <w:shd w:val="clear" w:color="auto" w:fill="auto"/>
            <w:noWrap/>
            <w:vAlign w:val="center"/>
          </w:tcPr>
          <w:p w14:paraId="5D83DA3C"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26581ACC"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15D5695A" w14:textId="77777777" w:rsidTr="001578CB">
        <w:trPr>
          <w:trHeight w:val="285"/>
          <w:jc w:val="center"/>
        </w:trPr>
        <w:tc>
          <w:tcPr>
            <w:tcW w:w="1138" w:type="dxa"/>
            <w:tcBorders>
              <w:top w:val="nil"/>
              <w:left w:val="nil"/>
              <w:right w:val="nil"/>
            </w:tcBorders>
            <w:shd w:val="clear" w:color="auto" w:fill="auto"/>
            <w:noWrap/>
            <w:vAlign w:val="center"/>
          </w:tcPr>
          <w:p w14:paraId="74AB2DD0"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66098237"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3EF4445F" w14:textId="77777777" w:rsidTr="001578CB">
        <w:trPr>
          <w:trHeight w:val="285"/>
          <w:jc w:val="center"/>
        </w:trPr>
        <w:tc>
          <w:tcPr>
            <w:tcW w:w="1138" w:type="dxa"/>
            <w:tcBorders>
              <w:top w:val="nil"/>
              <w:left w:val="nil"/>
              <w:right w:val="nil"/>
            </w:tcBorders>
            <w:shd w:val="clear" w:color="auto" w:fill="auto"/>
            <w:noWrap/>
            <w:vAlign w:val="center"/>
          </w:tcPr>
          <w:p w14:paraId="37374E5A"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5FC5B66C"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71B05640" w14:textId="77777777" w:rsidTr="001578CB">
        <w:trPr>
          <w:trHeight w:val="285"/>
          <w:jc w:val="center"/>
        </w:trPr>
        <w:tc>
          <w:tcPr>
            <w:tcW w:w="1138" w:type="dxa"/>
            <w:tcBorders>
              <w:top w:val="nil"/>
              <w:left w:val="nil"/>
              <w:right w:val="nil"/>
            </w:tcBorders>
            <w:shd w:val="clear" w:color="auto" w:fill="auto"/>
            <w:noWrap/>
            <w:vAlign w:val="center"/>
          </w:tcPr>
          <w:p w14:paraId="3BEFC302"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7818FD0A"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0D440F42" w14:textId="77777777" w:rsidTr="001578CB">
        <w:trPr>
          <w:trHeight w:val="285"/>
          <w:jc w:val="center"/>
        </w:trPr>
        <w:tc>
          <w:tcPr>
            <w:tcW w:w="1138" w:type="dxa"/>
            <w:tcBorders>
              <w:top w:val="nil"/>
              <w:left w:val="nil"/>
              <w:right w:val="nil"/>
            </w:tcBorders>
            <w:shd w:val="clear" w:color="auto" w:fill="auto"/>
            <w:noWrap/>
            <w:vAlign w:val="center"/>
          </w:tcPr>
          <w:p w14:paraId="14E9CB91"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683325F5"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2D56191E" w14:textId="77777777" w:rsidTr="001578CB">
        <w:trPr>
          <w:trHeight w:val="285"/>
          <w:jc w:val="center"/>
        </w:trPr>
        <w:tc>
          <w:tcPr>
            <w:tcW w:w="1138" w:type="dxa"/>
            <w:tcBorders>
              <w:top w:val="nil"/>
              <w:left w:val="nil"/>
              <w:right w:val="nil"/>
            </w:tcBorders>
            <w:shd w:val="clear" w:color="auto" w:fill="auto"/>
            <w:noWrap/>
            <w:vAlign w:val="center"/>
          </w:tcPr>
          <w:p w14:paraId="070A15FF"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28FA81E6"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5DB111FC" w14:textId="77777777" w:rsidTr="001578CB">
        <w:trPr>
          <w:trHeight w:val="285"/>
          <w:jc w:val="center"/>
        </w:trPr>
        <w:tc>
          <w:tcPr>
            <w:tcW w:w="1138" w:type="dxa"/>
            <w:tcBorders>
              <w:top w:val="nil"/>
              <w:left w:val="nil"/>
              <w:right w:val="nil"/>
            </w:tcBorders>
            <w:shd w:val="clear" w:color="auto" w:fill="auto"/>
            <w:noWrap/>
            <w:vAlign w:val="center"/>
          </w:tcPr>
          <w:p w14:paraId="5B0E4F17"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4EFD123A"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2A637465" w14:textId="77777777" w:rsidTr="001578CB">
        <w:trPr>
          <w:trHeight w:val="285"/>
          <w:jc w:val="center"/>
        </w:trPr>
        <w:tc>
          <w:tcPr>
            <w:tcW w:w="1138" w:type="dxa"/>
            <w:tcBorders>
              <w:top w:val="nil"/>
              <w:left w:val="nil"/>
              <w:right w:val="nil"/>
            </w:tcBorders>
            <w:shd w:val="clear" w:color="auto" w:fill="auto"/>
            <w:noWrap/>
            <w:vAlign w:val="center"/>
          </w:tcPr>
          <w:p w14:paraId="6D0BE55C"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7C6ADB13"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70DE2745" w14:textId="77777777" w:rsidTr="001578CB">
        <w:trPr>
          <w:trHeight w:val="285"/>
          <w:jc w:val="center"/>
        </w:trPr>
        <w:tc>
          <w:tcPr>
            <w:tcW w:w="1138" w:type="dxa"/>
            <w:tcBorders>
              <w:top w:val="nil"/>
              <w:left w:val="nil"/>
              <w:right w:val="nil"/>
            </w:tcBorders>
            <w:shd w:val="clear" w:color="auto" w:fill="auto"/>
            <w:noWrap/>
            <w:vAlign w:val="center"/>
          </w:tcPr>
          <w:p w14:paraId="44751059"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5A00EF03"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4FD67F1E" w14:textId="77777777" w:rsidTr="001578CB">
        <w:trPr>
          <w:trHeight w:val="285"/>
          <w:jc w:val="center"/>
        </w:trPr>
        <w:tc>
          <w:tcPr>
            <w:tcW w:w="1138" w:type="dxa"/>
            <w:tcBorders>
              <w:top w:val="nil"/>
              <w:left w:val="nil"/>
              <w:right w:val="nil"/>
            </w:tcBorders>
            <w:shd w:val="clear" w:color="auto" w:fill="auto"/>
            <w:noWrap/>
            <w:vAlign w:val="center"/>
          </w:tcPr>
          <w:p w14:paraId="15957276"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2154DE07"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080D15A1" w14:textId="77777777" w:rsidTr="001578CB">
        <w:trPr>
          <w:trHeight w:val="285"/>
          <w:jc w:val="center"/>
        </w:trPr>
        <w:tc>
          <w:tcPr>
            <w:tcW w:w="1138" w:type="dxa"/>
            <w:tcBorders>
              <w:top w:val="nil"/>
              <w:left w:val="nil"/>
              <w:right w:val="nil"/>
            </w:tcBorders>
            <w:shd w:val="clear" w:color="auto" w:fill="auto"/>
            <w:noWrap/>
            <w:vAlign w:val="center"/>
          </w:tcPr>
          <w:p w14:paraId="72D79429"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535BE92C"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3767828E" w14:textId="77777777" w:rsidTr="001578CB">
        <w:trPr>
          <w:trHeight w:val="285"/>
          <w:jc w:val="center"/>
        </w:trPr>
        <w:tc>
          <w:tcPr>
            <w:tcW w:w="1138" w:type="dxa"/>
            <w:tcBorders>
              <w:top w:val="nil"/>
              <w:left w:val="nil"/>
              <w:right w:val="nil"/>
            </w:tcBorders>
            <w:shd w:val="clear" w:color="auto" w:fill="auto"/>
            <w:noWrap/>
            <w:vAlign w:val="center"/>
          </w:tcPr>
          <w:p w14:paraId="79037064"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13FBA14B"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69450095" w14:textId="77777777" w:rsidTr="001578CB">
        <w:trPr>
          <w:trHeight w:val="285"/>
          <w:jc w:val="center"/>
        </w:trPr>
        <w:tc>
          <w:tcPr>
            <w:tcW w:w="1138" w:type="dxa"/>
            <w:tcBorders>
              <w:top w:val="nil"/>
              <w:left w:val="nil"/>
              <w:right w:val="nil"/>
            </w:tcBorders>
            <w:shd w:val="clear" w:color="auto" w:fill="auto"/>
            <w:noWrap/>
            <w:vAlign w:val="center"/>
          </w:tcPr>
          <w:p w14:paraId="19083FEE"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6C8945BB"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10458E09" w14:textId="77777777" w:rsidTr="001578CB">
        <w:trPr>
          <w:trHeight w:val="285"/>
          <w:jc w:val="center"/>
        </w:trPr>
        <w:tc>
          <w:tcPr>
            <w:tcW w:w="1138" w:type="dxa"/>
            <w:tcBorders>
              <w:top w:val="nil"/>
              <w:left w:val="nil"/>
              <w:right w:val="nil"/>
            </w:tcBorders>
            <w:shd w:val="clear" w:color="auto" w:fill="auto"/>
            <w:noWrap/>
            <w:vAlign w:val="center"/>
          </w:tcPr>
          <w:p w14:paraId="17343277"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4880CD01"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58F451FC" w14:textId="77777777" w:rsidTr="001578CB">
        <w:trPr>
          <w:trHeight w:val="285"/>
          <w:jc w:val="center"/>
        </w:trPr>
        <w:tc>
          <w:tcPr>
            <w:tcW w:w="1138" w:type="dxa"/>
            <w:tcBorders>
              <w:top w:val="nil"/>
              <w:left w:val="nil"/>
              <w:right w:val="nil"/>
            </w:tcBorders>
            <w:shd w:val="clear" w:color="auto" w:fill="auto"/>
            <w:noWrap/>
            <w:vAlign w:val="center"/>
          </w:tcPr>
          <w:p w14:paraId="5766AD9C"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191F184F"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45A2C943" w14:textId="77777777" w:rsidTr="001578CB">
        <w:trPr>
          <w:trHeight w:val="285"/>
          <w:jc w:val="center"/>
        </w:trPr>
        <w:tc>
          <w:tcPr>
            <w:tcW w:w="1138" w:type="dxa"/>
            <w:tcBorders>
              <w:top w:val="nil"/>
              <w:left w:val="nil"/>
              <w:right w:val="nil"/>
            </w:tcBorders>
            <w:shd w:val="clear" w:color="auto" w:fill="auto"/>
            <w:noWrap/>
            <w:vAlign w:val="center"/>
          </w:tcPr>
          <w:p w14:paraId="2FFA0EBC"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27140223"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00ED6F3C" w14:textId="77777777" w:rsidTr="001578CB">
        <w:trPr>
          <w:trHeight w:val="285"/>
          <w:jc w:val="center"/>
        </w:trPr>
        <w:tc>
          <w:tcPr>
            <w:tcW w:w="1138" w:type="dxa"/>
            <w:tcBorders>
              <w:top w:val="nil"/>
              <w:left w:val="nil"/>
              <w:right w:val="nil"/>
            </w:tcBorders>
            <w:shd w:val="clear" w:color="auto" w:fill="auto"/>
            <w:noWrap/>
            <w:vAlign w:val="center"/>
          </w:tcPr>
          <w:p w14:paraId="110FF34C"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2BF569ED"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1372B0" w:rsidRPr="007E1190" w14:paraId="3185F076" w14:textId="77777777" w:rsidTr="001578CB">
        <w:trPr>
          <w:trHeight w:val="285"/>
          <w:jc w:val="center"/>
        </w:trPr>
        <w:tc>
          <w:tcPr>
            <w:tcW w:w="1138" w:type="dxa"/>
            <w:tcBorders>
              <w:top w:val="nil"/>
              <w:left w:val="nil"/>
              <w:right w:val="nil"/>
            </w:tcBorders>
            <w:shd w:val="clear" w:color="auto" w:fill="auto"/>
            <w:noWrap/>
            <w:vAlign w:val="center"/>
          </w:tcPr>
          <w:p w14:paraId="2FD104E0" w14:textId="77777777" w:rsidR="001372B0" w:rsidRPr="005D1027" w:rsidRDefault="001372B0" w:rsidP="001372B0">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00B4C213" w14:textId="77777777" w:rsidR="001372B0" w:rsidRPr="00034046" w:rsidRDefault="001372B0" w:rsidP="001372B0">
            <w:pPr>
              <w:spacing w:after="0"/>
              <w:contextualSpacing/>
              <w:jc w:val="both"/>
              <w:rPr>
                <w:rFonts w:ascii="Times New Roman" w:eastAsia="Times New Roman" w:hAnsi="Times New Roman" w:cs="Times New Roman"/>
                <w:color w:val="000000"/>
                <w:sz w:val="20"/>
                <w:szCs w:val="20"/>
                <w:lang w:eastAsia="en-NZ"/>
              </w:rPr>
            </w:pPr>
          </w:p>
        </w:tc>
      </w:tr>
      <w:tr w:rsidR="00632917" w:rsidRPr="007E1190" w14:paraId="32360092" w14:textId="77777777" w:rsidTr="001372B0">
        <w:trPr>
          <w:trHeight w:val="285"/>
          <w:jc w:val="center"/>
        </w:trPr>
        <w:tc>
          <w:tcPr>
            <w:tcW w:w="1138" w:type="dxa"/>
            <w:tcBorders>
              <w:top w:val="nil"/>
              <w:left w:val="nil"/>
              <w:right w:val="nil"/>
            </w:tcBorders>
            <w:shd w:val="clear" w:color="auto" w:fill="auto"/>
            <w:noWrap/>
            <w:vAlign w:val="center"/>
          </w:tcPr>
          <w:p w14:paraId="07927491" w14:textId="2902D727" w:rsidR="00632917" w:rsidRPr="005D1027" w:rsidRDefault="00632917" w:rsidP="00632917">
            <w:pPr>
              <w:spacing w:after="0" w:line="240" w:lineRule="auto"/>
              <w:rPr>
                <w:rFonts w:ascii="Times New Roman" w:eastAsia="Times New Roman" w:hAnsi="Times New Roman" w:cs="Times New Roman"/>
                <w:i/>
                <w:iCs/>
                <w:color w:val="000000"/>
                <w:sz w:val="20"/>
                <w:szCs w:val="20"/>
                <w:lang w:eastAsia="en-NZ"/>
              </w:rPr>
            </w:pPr>
            <w:r>
              <w:rPr>
                <w:rFonts w:ascii="Times New Roman" w:eastAsia="Times New Roman" w:hAnsi="Times New Roman" w:cs="Times New Roman"/>
                <w:i/>
                <w:iCs/>
                <w:color w:val="000000"/>
                <w:sz w:val="20"/>
                <w:szCs w:val="20"/>
                <w:lang w:eastAsia="en-NZ"/>
              </w:rPr>
              <w:t>R</w:t>
            </w:r>
            <w:r w:rsidRPr="005D1027">
              <w:rPr>
                <w:rFonts w:ascii="Times New Roman" w:eastAsia="Times New Roman" w:hAnsi="Times New Roman" w:cs="Times New Roman"/>
                <w:i/>
                <w:iCs/>
                <w:color w:val="000000"/>
                <w:sz w:val="20"/>
                <w:szCs w:val="20"/>
                <w:lang w:eastAsia="en-NZ"/>
              </w:rPr>
              <w:t>A</w:t>
            </w:r>
            <w:r>
              <w:rPr>
                <w:rFonts w:ascii="Times New Roman" w:eastAsia="Times New Roman" w:hAnsi="Times New Roman" w:cs="Times New Roman"/>
                <w:i/>
                <w:iCs/>
                <w:color w:val="000000"/>
                <w:sz w:val="20"/>
                <w:szCs w:val="20"/>
                <w:lang w:eastAsia="en-NZ"/>
              </w:rPr>
              <w:t>MR</w:t>
            </w:r>
          </w:p>
        </w:tc>
        <w:tc>
          <w:tcPr>
            <w:tcW w:w="8170" w:type="dxa"/>
            <w:tcBorders>
              <w:left w:val="nil"/>
              <w:right w:val="nil"/>
            </w:tcBorders>
            <w:shd w:val="clear" w:color="auto" w:fill="auto"/>
            <w:noWrap/>
            <w:vAlign w:val="center"/>
          </w:tcPr>
          <w:p w14:paraId="188E9D52" w14:textId="4CA70026" w:rsidR="00632917" w:rsidRPr="00034046" w:rsidRDefault="00632917" w:rsidP="00632917">
            <w:pPr>
              <w:spacing w:after="0"/>
              <w:contextualSpacing/>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 xml:space="preserve">Raw values of </w:t>
            </w:r>
            <w:r w:rsidRPr="001578CB">
              <w:rPr>
                <w:rFonts w:ascii="Times New Roman" w:eastAsia="Times New Roman" w:hAnsi="Times New Roman" w:cs="Times New Roman"/>
                <w:i/>
                <w:iCs/>
                <w:color w:val="000000"/>
                <w:sz w:val="20"/>
                <w:szCs w:val="20"/>
                <w:lang w:eastAsia="en-NZ"/>
              </w:rPr>
              <w:t>R</w:t>
            </w:r>
            <w:r w:rsidRPr="00F624B8">
              <w:rPr>
                <w:rFonts w:ascii="Times New Roman" w:eastAsia="Times New Roman" w:hAnsi="Times New Roman" w:cs="Times New Roman"/>
                <w:i/>
                <w:iCs/>
                <w:color w:val="000000"/>
                <w:sz w:val="20"/>
                <w:szCs w:val="20"/>
                <w:lang w:eastAsia="en-NZ"/>
              </w:rPr>
              <w:t>AM</w:t>
            </w:r>
          </w:p>
        </w:tc>
      </w:tr>
      <w:tr w:rsidR="00632917" w:rsidRPr="007E1190" w14:paraId="2D13F5D3" w14:textId="77777777" w:rsidTr="001578CB">
        <w:trPr>
          <w:trHeight w:val="233"/>
          <w:jc w:val="center"/>
        </w:trPr>
        <w:tc>
          <w:tcPr>
            <w:tcW w:w="1138" w:type="dxa"/>
            <w:tcBorders>
              <w:top w:val="nil"/>
              <w:left w:val="nil"/>
              <w:bottom w:val="nil"/>
              <w:right w:val="nil"/>
            </w:tcBorders>
            <w:shd w:val="clear" w:color="auto" w:fill="auto"/>
            <w:noWrap/>
            <w:vAlign w:val="center"/>
          </w:tcPr>
          <w:p w14:paraId="5E0303B4" w14:textId="70BBF7BA" w:rsidR="00632917" w:rsidRPr="005D1027" w:rsidRDefault="00632917" w:rsidP="00632917">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SEO</w:t>
            </w:r>
            <w:r>
              <w:rPr>
                <w:rFonts w:ascii="Times New Roman" w:eastAsia="Times New Roman" w:hAnsi="Times New Roman" w:cs="Times New Roman"/>
                <w:i/>
                <w:iCs/>
                <w:color w:val="000000"/>
                <w:sz w:val="20"/>
                <w:szCs w:val="20"/>
                <w:lang w:eastAsia="en-NZ"/>
              </w:rPr>
              <w:t>P</w:t>
            </w:r>
          </w:p>
        </w:tc>
        <w:tc>
          <w:tcPr>
            <w:tcW w:w="8170" w:type="dxa"/>
            <w:vMerge w:val="restart"/>
            <w:tcBorders>
              <w:left w:val="nil"/>
              <w:right w:val="nil"/>
            </w:tcBorders>
            <w:shd w:val="clear" w:color="auto" w:fill="auto"/>
            <w:noWrap/>
            <w:vAlign w:val="center"/>
          </w:tcPr>
          <w:p w14:paraId="34B2091A" w14:textId="761B9ED1" w:rsidR="00632917" w:rsidRPr="005D1027" w:rsidRDefault="00632917" w:rsidP="00632917">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Post-</w:t>
            </w:r>
            <w:r w:rsidRPr="005D1027">
              <w:rPr>
                <w:rFonts w:ascii="Times New Roman" w:eastAsia="Times New Roman" w:hAnsi="Times New Roman" w:cs="Times New Roman"/>
                <w:color w:val="000000"/>
                <w:sz w:val="20"/>
                <w:szCs w:val="20"/>
                <w:lang w:eastAsia="en-NZ"/>
              </w:rPr>
              <w:t xml:space="preserve">SEO </w:t>
            </w:r>
            <w:r>
              <w:rPr>
                <w:rFonts w:ascii="Times New Roman" w:eastAsia="Times New Roman" w:hAnsi="Times New Roman" w:cs="Times New Roman"/>
                <w:color w:val="000000"/>
                <w:sz w:val="20"/>
                <w:szCs w:val="20"/>
                <w:lang w:eastAsia="en-NZ"/>
              </w:rPr>
              <w:t xml:space="preserve">performance </w:t>
            </w:r>
            <w:r w:rsidRPr="005D1027">
              <w:rPr>
                <w:rFonts w:ascii="Times New Roman" w:eastAsia="Times New Roman" w:hAnsi="Times New Roman" w:cs="Times New Roman"/>
                <w:color w:val="000000"/>
                <w:sz w:val="20"/>
                <w:szCs w:val="20"/>
                <w:lang w:eastAsia="en-NZ"/>
              </w:rPr>
              <w:t>computed in accordance with Teoh et al. (1998)</w:t>
            </w:r>
            <w:r>
              <w:rPr>
                <w:rFonts w:ascii="Times New Roman" w:eastAsia="Times New Roman" w:hAnsi="Times New Roman" w:cs="Times New Roman"/>
                <w:color w:val="000000"/>
                <w:sz w:val="20"/>
                <w:szCs w:val="20"/>
                <w:lang w:eastAsia="en-NZ"/>
              </w:rPr>
              <w:t xml:space="preserve">, measured as the </w:t>
            </w:r>
            <w:r w:rsidRPr="005D1027">
              <w:rPr>
                <w:rFonts w:ascii="Times New Roman" w:hAnsi="Times New Roman" w:cs="Times New Roman"/>
                <w:sz w:val="20"/>
                <w:szCs w:val="20"/>
              </w:rPr>
              <w:t>Unadjusted net income performance calculated as n</w:t>
            </w:r>
            <w:r w:rsidRPr="0039135E">
              <w:rPr>
                <w:rFonts w:ascii="Times New Roman" w:hAnsi="Times New Roman" w:cs="Times New Roman"/>
                <w:sz w:val="20"/>
                <w:szCs w:val="20"/>
              </w:rPr>
              <w:t>et income scaled by prior year’s total assets.</w:t>
            </w:r>
          </w:p>
        </w:tc>
      </w:tr>
      <w:tr w:rsidR="00632917" w:rsidRPr="007E1190" w14:paraId="6011B378" w14:textId="77777777" w:rsidTr="001578CB">
        <w:trPr>
          <w:trHeight w:val="232"/>
          <w:jc w:val="center"/>
        </w:trPr>
        <w:tc>
          <w:tcPr>
            <w:tcW w:w="1138" w:type="dxa"/>
            <w:tcBorders>
              <w:top w:val="nil"/>
              <w:left w:val="nil"/>
              <w:bottom w:val="nil"/>
              <w:right w:val="nil"/>
            </w:tcBorders>
            <w:shd w:val="clear" w:color="auto" w:fill="auto"/>
            <w:noWrap/>
            <w:vAlign w:val="center"/>
          </w:tcPr>
          <w:p w14:paraId="4D14D920" w14:textId="77777777" w:rsidR="00632917" w:rsidRPr="005D1027" w:rsidRDefault="00632917" w:rsidP="00632917">
            <w:pPr>
              <w:spacing w:after="0" w:line="240" w:lineRule="auto"/>
              <w:rPr>
                <w:rFonts w:ascii="Times New Roman" w:eastAsia="Times New Roman" w:hAnsi="Times New Roman" w:cs="Times New Roman"/>
                <w:i/>
                <w:iCs/>
                <w:color w:val="000000"/>
                <w:sz w:val="20"/>
                <w:szCs w:val="20"/>
                <w:lang w:eastAsia="en-NZ"/>
              </w:rPr>
            </w:pPr>
          </w:p>
        </w:tc>
        <w:tc>
          <w:tcPr>
            <w:tcW w:w="8170" w:type="dxa"/>
            <w:vMerge/>
            <w:tcBorders>
              <w:left w:val="nil"/>
              <w:right w:val="nil"/>
            </w:tcBorders>
            <w:shd w:val="clear" w:color="auto" w:fill="auto"/>
            <w:noWrap/>
            <w:vAlign w:val="center"/>
          </w:tcPr>
          <w:p w14:paraId="33DA7D9D" w14:textId="77777777" w:rsidR="00632917" w:rsidRDefault="00632917" w:rsidP="00632917">
            <w:pPr>
              <w:spacing w:after="0" w:line="240" w:lineRule="auto"/>
              <w:jc w:val="both"/>
              <w:rPr>
                <w:rFonts w:ascii="Times New Roman" w:eastAsia="Times New Roman" w:hAnsi="Times New Roman" w:cs="Times New Roman"/>
                <w:color w:val="000000"/>
                <w:sz w:val="20"/>
                <w:szCs w:val="20"/>
                <w:lang w:eastAsia="en-NZ"/>
              </w:rPr>
            </w:pPr>
          </w:p>
        </w:tc>
      </w:tr>
      <w:tr w:rsidR="00632917" w:rsidRPr="007E1190" w14:paraId="528CE1E4" w14:textId="77777777" w:rsidTr="001578CB">
        <w:trPr>
          <w:trHeight w:val="315"/>
          <w:jc w:val="center"/>
        </w:trPr>
        <w:tc>
          <w:tcPr>
            <w:tcW w:w="1138" w:type="dxa"/>
            <w:tcBorders>
              <w:top w:val="nil"/>
              <w:left w:val="nil"/>
              <w:bottom w:val="nil"/>
              <w:right w:val="nil"/>
            </w:tcBorders>
            <w:shd w:val="clear" w:color="auto" w:fill="auto"/>
            <w:noWrap/>
            <w:vAlign w:val="center"/>
          </w:tcPr>
          <w:p w14:paraId="71CA6F26" w14:textId="77777777" w:rsidR="00632917" w:rsidRPr="005D1027" w:rsidRDefault="00632917" w:rsidP="00632917">
            <w:pPr>
              <w:spacing w:after="0" w:line="240" w:lineRule="auto"/>
              <w:rPr>
                <w:rFonts w:ascii="Times New Roman" w:eastAsia="Times New Roman" w:hAnsi="Times New Roman" w:cs="Times New Roman"/>
                <w:i/>
                <w:iCs/>
                <w:color w:val="000000"/>
                <w:sz w:val="20"/>
                <w:szCs w:val="20"/>
                <w:lang w:eastAsia="en-NZ"/>
              </w:rPr>
            </w:pPr>
            <w:r w:rsidRPr="005D1027">
              <w:rPr>
                <w:rFonts w:ascii="Times New Roman" w:eastAsia="Times New Roman" w:hAnsi="Times New Roman" w:cs="Times New Roman"/>
                <w:i/>
                <w:iCs/>
                <w:color w:val="000000"/>
                <w:sz w:val="20"/>
                <w:szCs w:val="20"/>
                <w:lang w:eastAsia="en-NZ"/>
              </w:rPr>
              <w:t>SIZE</w:t>
            </w:r>
          </w:p>
        </w:tc>
        <w:tc>
          <w:tcPr>
            <w:tcW w:w="8170" w:type="dxa"/>
            <w:tcBorders>
              <w:top w:val="nil"/>
              <w:left w:val="nil"/>
              <w:bottom w:val="nil"/>
              <w:right w:val="nil"/>
            </w:tcBorders>
            <w:shd w:val="clear" w:color="auto" w:fill="auto"/>
            <w:noWrap/>
            <w:vAlign w:val="center"/>
          </w:tcPr>
          <w:p w14:paraId="7E16FA4A" w14:textId="77777777" w:rsidR="00632917" w:rsidRPr="005D1027" w:rsidRDefault="00632917" w:rsidP="00632917">
            <w:pPr>
              <w:spacing w:after="0" w:line="240" w:lineRule="auto"/>
              <w:jc w:val="both"/>
              <w:rPr>
                <w:rFonts w:ascii="Times New Roman" w:eastAsia="Times New Roman" w:hAnsi="Times New Roman" w:cs="Times New Roman"/>
                <w:color w:val="000000"/>
                <w:sz w:val="20"/>
                <w:szCs w:val="20"/>
                <w:lang w:eastAsia="en-NZ"/>
              </w:rPr>
            </w:pPr>
            <w:r w:rsidRPr="005D1027">
              <w:rPr>
                <w:rFonts w:ascii="Times New Roman" w:eastAsia="Times New Roman" w:hAnsi="Times New Roman" w:cs="Times New Roman"/>
                <w:color w:val="000000"/>
                <w:sz w:val="20"/>
                <w:szCs w:val="20"/>
                <w:lang w:eastAsia="en-NZ"/>
              </w:rPr>
              <w:t>Natural logarithm of total assets.</w:t>
            </w:r>
          </w:p>
        </w:tc>
      </w:tr>
      <w:tr w:rsidR="00632917" w:rsidRPr="0039135E" w14:paraId="096CBD8E" w14:textId="77777777" w:rsidTr="001578CB">
        <w:trPr>
          <w:trHeight w:val="60"/>
          <w:jc w:val="center"/>
        </w:trPr>
        <w:tc>
          <w:tcPr>
            <w:tcW w:w="1138" w:type="dxa"/>
            <w:tcBorders>
              <w:top w:val="nil"/>
              <w:left w:val="nil"/>
              <w:bottom w:val="single" w:sz="4" w:space="0" w:color="auto"/>
              <w:right w:val="nil"/>
            </w:tcBorders>
            <w:shd w:val="clear" w:color="auto" w:fill="auto"/>
            <w:noWrap/>
            <w:vAlign w:val="center"/>
          </w:tcPr>
          <w:p w14:paraId="1D0AE891" w14:textId="77777777" w:rsidR="00632917" w:rsidRPr="0039135E" w:rsidRDefault="00632917" w:rsidP="00632917">
            <w:pPr>
              <w:spacing w:after="0" w:line="240" w:lineRule="auto"/>
              <w:rPr>
                <w:rFonts w:ascii="Times New Roman" w:eastAsia="Times New Roman" w:hAnsi="Times New Roman" w:cs="Times New Roman"/>
                <w:i/>
                <w:iCs/>
                <w:color w:val="000000"/>
                <w:sz w:val="20"/>
                <w:szCs w:val="20"/>
                <w:lang w:eastAsia="en-NZ"/>
              </w:rPr>
            </w:pPr>
            <w:r>
              <w:rPr>
                <w:rFonts w:ascii="Times New Roman" w:eastAsia="Times New Roman" w:hAnsi="Times New Roman" w:cs="Times New Roman"/>
                <w:i/>
                <w:iCs/>
                <w:color w:val="000000"/>
                <w:sz w:val="20"/>
                <w:szCs w:val="20"/>
                <w:lang w:eastAsia="en-NZ"/>
              </w:rPr>
              <w:t>T</w:t>
            </w:r>
            <w:r w:rsidRPr="0039135E">
              <w:rPr>
                <w:rFonts w:ascii="Times New Roman" w:eastAsia="Times New Roman" w:hAnsi="Times New Roman" w:cs="Times New Roman"/>
                <w:i/>
                <w:iCs/>
                <w:color w:val="000000"/>
                <w:sz w:val="20"/>
                <w:szCs w:val="20"/>
                <w:lang w:eastAsia="en-NZ"/>
              </w:rPr>
              <w:t>AR</w:t>
            </w:r>
          </w:p>
        </w:tc>
        <w:tc>
          <w:tcPr>
            <w:tcW w:w="8170" w:type="dxa"/>
            <w:tcBorders>
              <w:top w:val="nil"/>
              <w:left w:val="nil"/>
              <w:bottom w:val="single" w:sz="4" w:space="0" w:color="auto"/>
              <w:right w:val="nil"/>
            </w:tcBorders>
            <w:shd w:val="clear" w:color="auto" w:fill="auto"/>
            <w:noWrap/>
            <w:vAlign w:val="center"/>
          </w:tcPr>
          <w:p w14:paraId="4688CEA7" w14:textId="77777777" w:rsidR="00632917" w:rsidRPr="0039135E" w:rsidRDefault="00632917" w:rsidP="00632917">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 xml:space="preserve">The sum of </w:t>
            </w:r>
            <w:r w:rsidRPr="0039135E">
              <w:rPr>
                <w:rFonts w:ascii="Times New Roman" w:eastAsia="Times New Roman" w:hAnsi="Times New Roman" w:cs="Times New Roman"/>
                <w:i/>
                <w:iCs/>
                <w:color w:val="000000"/>
                <w:sz w:val="20"/>
                <w:szCs w:val="20"/>
                <w:lang w:eastAsia="en-NZ"/>
              </w:rPr>
              <w:t>AEM</w:t>
            </w:r>
            <w:r w:rsidRPr="0039135E">
              <w:rPr>
                <w:rFonts w:ascii="Times New Roman" w:eastAsia="Times New Roman" w:hAnsi="Times New Roman" w:cs="Times New Roman"/>
                <w:color w:val="000000"/>
                <w:sz w:val="20"/>
                <w:szCs w:val="20"/>
                <w:lang w:eastAsia="en-NZ"/>
              </w:rPr>
              <w:t xml:space="preserve"> and </w:t>
            </w:r>
            <w:r w:rsidRPr="0039135E">
              <w:rPr>
                <w:rFonts w:ascii="Times New Roman" w:eastAsia="Times New Roman" w:hAnsi="Times New Roman" w:cs="Times New Roman"/>
                <w:i/>
                <w:iCs/>
                <w:color w:val="000000"/>
                <w:sz w:val="20"/>
                <w:szCs w:val="20"/>
                <w:lang w:eastAsia="en-NZ"/>
              </w:rPr>
              <w:t>RAM</w:t>
            </w:r>
            <w:r>
              <w:rPr>
                <w:rFonts w:ascii="Times New Roman" w:eastAsia="Times New Roman" w:hAnsi="Times New Roman" w:cs="Times New Roman"/>
                <w:color w:val="000000"/>
                <w:sz w:val="20"/>
                <w:szCs w:val="20"/>
                <w:lang w:eastAsia="en-NZ"/>
              </w:rPr>
              <w:t>.</w:t>
            </w:r>
          </w:p>
        </w:tc>
      </w:tr>
    </w:tbl>
    <w:p w14:paraId="7BE21770" w14:textId="77777777" w:rsidR="005E3506" w:rsidRDefault="005E3506" w:rsidP="005E3506">
      <w:pPr>
        <w:pStyle w:val="Bibliography"/>
        <w:spacing w:before="0" w:after="0" w:line="240" w:lineRule="auto"/>
        <w:ind w:right="57"/>
        <w:rPr>
          <w:noProof/>
          <w:sz w:val="20"/>
          <w:szCs w:val="20"/>
          <w:lang w:val="en-US"/>
        </w:rPr>
      </w:pPr>
    </w:p>
    <w:p w14:paraId="2BAA1F05" w14:textId="77777777" w:rsidR="005E3506" w:rsidRDefault="005E3506" w:rsidP="005E3506">
      <w:pPr>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br w:type="page"/>
      </w:r>
    </w:p>
    <w:tbl>
      <w:tblPr>
        <w:tblW w:w="8963" w:type="dxa"/>
        <w:tblLook w:val="04A0" w:firstRow="1" w:lastRow="0" w:firstColumn="1" w:lastColumn="0" w:noHBand="0" w:noVBand="1"/>
      </w:tblPr>
      <w:tblGrid>
        <w:gridCol w:w="8052"/>
        <w:gridCol w:w="911"/>
      </w:tblGrid>
      <w:tr w:rsidR="008F5F52" w:rsidRPr="008F5F52" w14:paraId="243E3126" w14:textId="77777777" w:rsidTr="001578CB">
        <w:trPr>
          <w:trHeight w:val="80"/>
        </w:trPr>
        <w:tc>
          <w:tcPr>
            <w:tcW w:w="8963" w:type="dxa"/>
            <w:gridSpan w:val="2"/>
            <w:tcBorders>
              <w:top w:val="nil"/>
              <w:left w:val="nil"/>
              <w:bottom w:val="nil"/>
              <w:right w:val="nil"/>
            </w:tcBorders>
            <w:shd w:val="clear" w:color="auto" w:fill="auto"/>
            <w:noWrap/>
            <w:vAlign w:val="bottom"/>
            <w:hideMark/>
          </w:tcPr>
          <w:p w14:paraId="62E91E59" w14:textId="6A338A24" w:rsidR="008F5F52" w:rsidRPr="008F5F52" w:rsidRDefault="004B4950" w:rsidP="001578CB">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lastRenderedPageBreak/>
              <w:t xml:space="preserve">TABLE </w:t>
            </w:r>
            <w:r w:rsidR="00C91FDB">
              <w:rPr>
                <w:rFonts w:ascii="Times New Roman" w:eastAsia="Times New Roman" w:hAnsi="Times New Roman" w:cs="Times New Roman"/>
                <w:color w:val="000000"/>
                <w:sz w:val="20"/>
                <w:szCs w:val="20"/>
                <w:lang w:val="en-GB" w:eastAsia="en-GB"/>
              </w:rPr>
              <w:t xml:space="preserve">1: </w:t>
            </w:r>
            <w:r w:rsidR="008F5F52" w:rsidRPr="008F5F52">
              <w:rPr>
                <w:rFonts w:ascii="Times New Roman" w:eastAsia="Times New Roman" w:hAnsi="Times New Roman" w:cs="Times New Roman"/>
                <w:color w:val="000000"/>
                <w:sz w:val="20"/>
                <w:szCs w:val="20"/>
                <w:lang w:val="en-GB" w:eastAsia="en-GB"/>
              </w:rPr>
              <w:t>Sample construction</w:t>
            </w:r>
          </w:p>
        </w:tc>
      </w:tr>
      <w:tr w:rsidR="008F5F52" w:rsidRPr="008F5F52" w14:paraId="064AD376" w14:textId="77777777" w:rsidTr="001578CB">
        <w:trPr>
          <w:trHeight w:val="263"/>
        </w:trPr>
        <w:tc>
          <w:tcPr>
            <w:tcW w:w="8052" w:type="dxa"/>
            <w:tcBorders>
              <w:top w:val="single" w:sz="4" w:space="0" w:color="auto"/>
              <w:left w:val="nil"/>
              <w:bottom w:val="nil"/>
              <w:right w:val="nil"/>
            </w:tcBorders>
            <w:shd w:val="clear" w:color="auto" w:fill="auto"/>
            <w:noWrap/>
            <w:vAlign w:val="bottom"/>
            <w:hideMark/>
          </w:tcPr>
          <w:p w14:paraId="00F0391A" w14:textId="77777777" w:rsidR="008F5F52" w:rsidRPr="008F5F52" w:rsidRDefault="008F5F52" w:rsidP="008F5F52">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Initial sample</w:t>
            </w:r>
          </w:p>
        </w:tc>
        <w:tc>
          <w:tcPr>
            <w:tcW w:w="911" w:type="dxa"/>
            <w:tcBorders>
              <w:top w:val="single" w:sz="4" w:space="0" w:color="auto"/>
              <w:left w:val="nil"/>
              <w:bottom w:val="nil"/>
              <w:right w:val="nil"/>
            </w:tcBorders>
            <w:shd w:val="clear" w:color="auto" w:fill="auto"/>
            <w:noWrap/>
            <w:vAlign w:val="bottom"/>
            <w:hideMark/>
          </w:tcPr>
          <w:p w14:paraId="1ACB5A10" w14:textId="77777777" w:rsidR="008F5F52" w:rsidRPr="008F5F52" w:rsidRDefault="008F5F52" w:rsidP="008F5F52">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31,166</w:t>
            </w:r>
          </w:p>
        </w:tc>
      </w:tr>
      <w:tr w:rsidR="008F5F52" w:rsidRPr="008F5F52" w14:paraId="7129A866" w14:textId="77777777" w:rsidTr="001578CB">
        <w:trPr>
          <w:trHeight w:val="263"/>
        </w:trPr>
        <w:tc>
          <w:tcPr>
            <w:tcW w:w="8052" w:type="dxa"/>
            <w:tcBorders>
              <w:top w:val="nil"/>
              <w:left w:val="nil"/>
              <w:bottom w:val="nil"/>
              <w:right w:val="nil"/>
            </w:tcBorders>
            <w:shd w:val="clear" w:color="auto" w:fill="auto"/>
            <w:noWrap/>
            <w:vAlign w:val="bottom"/>
            <w:hideMark/>
          </w:tcPr>
          <w:p w14:paraId="7F9F04F5" w14:textId="77777777" w:rsidR="008F5F52" w:rsidRPr="008F5F52" w:rsidRDefault="008F5F52" w:rsidP="008F5F52">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Exclude missing SEDOL codes</w:t>
            </w:r>
          </w:p>
        </w:tc>
        <w:tc>
          <w:tcPr>
            <w:tcW w:w="911" w:type="dxa"/>
            <w:tcBorders>
              <w:top w:val="nil"/>
              <w:left w:val="nil"/>
              <w:bottom w:val="nil"/>
              <w:right w:val="nil"/>
            </w:tcBorders>
            <w:shd w:val="clear" w:color="auto" w:fill="auto"/>
            <w:noWrap/>
            <w:vAlign w:val="bottom"/>
            <w:hideMark/>
          </w:tcPr>
          <w:p w14:paraId="128E1E36" w14:textId="77777777" w:rsidR="008F5F52" w:rsidRPr="008F5F52" w:rsidRDefault="008F5F52" w:rsidP="008F5F52">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1,714</w:t>
            </w:r>
          </w:p>
        </w:tc>
      </w:tr>
      <w:tr w:rsidR="008F5F52" w:rsidRPr="008F5F52" w14:paraId="3691D94A" w14:textId="77777777" w:rsidTr="001578CB">
        <w:trPr>
          <w:trHeight w:val="263"/>
        </w:trPr>
        <w:tc>
          <w:tcPr>
            <w:tcW w:w="8052" w:type="dxa"/>
            <w:tcBorders>
              <w:top w:val="nil"/>
              <w:left w:val="nil"/>
              <w:bottom w:val="nil"/>
              <w:right w:val="nil"/>
            </w:tcBorders>
            <w:shd w:val="clear" w:color="auto" w:fill="auto"/>
            <w:noWrap/>
            <w:vAlign w:val="bottom"/>
            <w:hideMark/>
          </w:tcPr>
          <w:p w14:paraId="662E4664" w14:textId="77777777" w:rsidR="008F5F52" w:rsidRPr="008F5F52" w:rsidRDefault="008F5F52" w:rsidP="008F5F52">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Exclude duplicate observations</w:t>
            </w:r>
          </w:p>
        </w:tc>
        <w:tc>
          <w:tcPr>
            <w:tcW w:w="911" w:type="dxa"/>
            <w:tcBorders>
              <w:top w:val="nil"/>
              <w:left w:val="nil"/>
              <w:bottom w:val="nil"/>
              <w:right w:val="nil"/>
            </w:tcBorders>
            <w:shd w:val="clear" w:color="auto" w:fill="auto"/>
            <w:noWrap/>
            <w:vAlign w:val="bottom"/>
            <w:hideMark/>
          </w:tcPr>
          <w:p w14:paraId="184F558E" w14:textId="77777777" w:rsidR="008F5F52" w:rsidRPr="008F5F52" w:rsidRDefault="008F5F52" w:rsidP="008F5F52">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3,300</w:t>
            </w:r>
          </w:p>
        </w:tc>
      </w:tr>
      <w:tr w:rsidR="008F5500" w:rsidRPr="008F5F52" w14:paraId="682F0C0E" w14:textId="77777777" w:rsidTr="008F5F52">
        <w:trPr>
          <w:trHeight w:val="263"/>
        </w:trPr>
        <w:tc>
          <w:tcPr>
            <w:tcW w:w="8052" w:type="dxa"/>
            <w:tcBorders>
              <w:top w:val="nil"/>
              <w:left w:val="nil"/>
              <w:bottom w:val="nil"/>
              <w:right w:val="nil"/>
            </w:tcBorders>
            <w:shd w:val="clear" w:color="auto" w:fill="auto"/>
            <w:noWrap/>
            <w:vAlign w:val="bottom"/>
          </w:tcPr>
          <w:p w14:paraId="5C848631" w14:textId="7C2746A5" w:rsidR="008F5500" w:rsidRPr="008F5F52" w:rsidRDefault="008F5500" w:rsidP="008F5500">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Exclude missing observation</w:t>
            </w:r>
          </w:p>
        </w:tc>
        <w:tc>
          <w:tcPr>
            <w:tcW w:w="911" w:type="dxa"/>
            <w:tcBorders>
              <w:top w:val="nil"/>
              <w:left w:val="nil"/>
              <w:bottom w:val="nil"/>
              <w:right w:val="nil"/>
            </w:tcBorders>
            <w:shd w:val="clear" w:color="auto" w:fill="auto"/>
            <w:noWrap/>
            <w:vAlign w:val="bottom"/>
          </w:tcPr>
          <w:p w14:paraId="631CEFF9" w14:textId="09CE1378" w:rsidR="008F5500" w:rsidRPr="008F5F52" w:rsidRDefault="008F5500" w:rsidP="008F5500">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5,529</w:t>
            </w:r>
          </w:p>
        </w:tc>
      </w:tr>
      <w:tr w:rsidR="008F5500" w:rsidRPr="008F5F52" w14:paraId="021B706A" w14:textId="77777777" w:rsidTr="001578CB">
        <w:trPr>
          <w:trHeight w:val="263"/>
        </w:trPr>
        <w:tc>
          <w:tcPr>
            <w:tcW w:w="8052" w:type="dxa"/>
            <w:tcBorders>
              <w:top w:val="nil"/>
              <w:left w:val="nil"/>
              <w:bottom w:val="nil"/>
              <w:right w:val="nil"/>
            </w:tcBorders>
            <w:shd w:val="clear" w:color="auto" w:fill="auto"/>
            <w:noWrap/>
            <w:vAlign w:val="bottom"/>
            <w:hideMark/>
          </w:tcPr>
          <w:p w14:paraId="1449C846" w14:textId="77777777" w:rsidR="008F5500" w:rsidRPr="008F5F52" w:rsidRDefault="008F5500" w:rsidP="008F5500">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Exclude utility and financial institutions</w:t>
            </w:r>
          </w:p>
        </w:tc>
        <w:tc>
          <w:tcPr>
            <w:tcW w:w="911" w:type="dxa"/>
            <w:tcBorders>
              <w:top w:val="nil"/>
              <w:left w:val="nil"/>
              <w:bottom w:val="nil"/>
              <w:right w:val="nil"/>
            </w:tcBorders>
            <w:shd w:val="clear" w:color="auto" w:fill="auto"/>
            <w:noWrap/>
            <w:vAlign w:val="bottom"/>
            <w:hideMark/>
          </w:tcPr>
          <w:p w14:paraId="6D94D77B" w14:textId="77777777" w:rsidR="008F5500" w:rsidRPr="008F5F52" w:rsidRDefault="008F5500" w:rsidP="008F5500">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4,002</w:t>
            </w:r>
          </w:p>
        </w:tc>
      </w:tr>
      <w:tr w:rsidR="008F5500" w:rsidRPr="008F5F52" w14:paraId="10227C43" w14:textId="77777777" w:rsidTr="001578CB">
        <w:trPr>
          <w:trHeight w:val="263"/>
        </w:trPr>
        <w:tc>
          <w:tcPr>
            <w:tcW w:w="8052" w:type="dxa"/>
            <w:tcBorders>
              <w:top w:val="nil"/>
              <w:left w:val="nil"/>
              <w:bottom w:val="nil"/>
              <w:right w:val="nil"/>
            </w:tcBorders>
            <w:shd w:val="clear" w:color="auto" w:fill="auto"/>
            <w:noWrap/>
            <w:vAlign w:val="bottom"/>
            <w:hideMark/>
          </w:tcPr>
          <w:p w14:paraId="1C4DD4F0" w14:textId="5A60F145" w:rsidR="008F5500" w:rsidRPr="008F5F52" w:rsidRDefault="008F5500" w:rsidP="008F5500">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 xml:space="preserve">Exclude </w:t>
            </w:r>
            <w:r w:rsidR="000B04F1" w:rsidRPr="000B04F1">
              <w:rPr>
                <w:rFonts w:ascii="Times New Roman" w:eastAsia="Times New Roman" w:hAnsi="Times New Roman" w:cs="Times New Roman"/>
                <w:color w:val="000000"/>
                <w:sz w:val="20"/>
                <w:szCs w:val="20"/>
                <w:lang w:eastAsia="en-GB"/>
              </w:rPr>
              <w:t>non-public, rights</w:t>
            </w:r>
            <w:r w:rsidR="0029222B">
              <w:rPr>
                <w:rFonts w:ascii="Times New Roman" w:eastAsia="Times New Roman" w:hAnsi="Times New Roman" w:cs="Times New Roman"/>
                <w:color w:val="000000"/>
                <w:sz w:val="20"/>
                <w:szCs w:val="20"/>
                <w:lang w:eastAsia="en-GB"/>
              </w:rPr>
              <w:t>,</w:t>
            </w:r>
            <w:r w:rsidR="000B04F1" w:rsidRPr="000B04F1">
              <w:rPr>
                <w:rFonts w:ascii="Times New Roman" w:eastAsia="Times New Roman" w:hAnsi="Times New Roman" w:cs="Times New Roman"/>
                <w:color w:val="000000"/>
                <w:sz w:val="20"/>
                <w:szCs w:val="20"/>
                <w:lang w:eastAsia="en-GB"/>
              </w:rPr>
              <w:t xml:space="preserve"> unit</w:t>
            </w:r>
            <w:r w:rsidR="0029222B">
              <w:rPr>
                <w:rFonts w:ascii="Times New Roman" w:eastAsia="Times New Roman" w:hAnsi="Times New Roman" w:cs="Times New Roman"/>
                <w:color w:val="000000"/>
                <w:sz w:val="20"/>
                <w:szCs w:val="20"/>
                <w:lang w:eastAsia="en-GB"/>
              </w:rPr>
              <w:t>, non-ordinary share</w:t>
            </w:r>
            <w:r w:rsidR="000B04F1" w:rsidRPr="000B04F1">
              <w:rPr>
                <w:rFonts w:ascii="Times New Roman" w:eastAsia="Times New Roman" w:hAnsi="Times New Roman" w:cs="Times New Roman"/>
                <w:color w:val="000000"/>
                <w:sz w:val="20"/>
                <w:szCs w:val="20"/>
                <w:lang w:eastAsia="en-GB"/>
              </w:rPr>
              <w:t xml:space="preserve"> offer</w:t>
            </w:r>
            <w:r w:rsidR="0038308F">
              <w:rPr>
                <w:rFonts w:ascii="Times New Roman" w:eastAsia="Times New Roman" w:hAnsi="Times New Roman" w:cs="Times New Roman"/>
                <w:color w:val="000000"/>
                <w:sz w:val="20"/>
                <w:szCs w:val="20"/>
                <w:lang w:eastAsia="en-GB"/>
              </w:rPr>
              <w:t>ing</w:t>
            </w:r>
            <w:r w:rsidR="00676B94">
              <w:rPr>
                <w:rFonts w:ascii="Times New Roman" w:eastAsia="Times New Roman" w:hAnsi="Times New Roman" w:cs="Times New Roman"/>
                <w:color w:val="000000"/>
                <w:sz w:val="20"/>
                <w:szCs w:val="20"/>
                <w:lang w:eastAsia="en-GB"/>
              </w:rPr>
              <w:t>s</w:t>
            </w:r>
            <w:r w:rsidR="000B04F1" w:rsidRPr="000B04F1">
              <w:rPr>
                <w:rFonts w:ascii="Times New Roman" w:eastAsia="Times New Roman" w:hAnsi="Times New Roman" w:cs="Times New Roman"/>
                <w:color w:val="000000"/>
                <w:sz w:val="20"/>
                <w:szCs w:val="20"/>
                <w:lang w:eastAsia="en-GB"/>
              </w:rPr>
              <w:t xml:space="preserve">, warrants, </w:t>
            </w:r>
            <w:r w:rsidR="0029222B">
              <w:rPr>
                <w:rFonts w:ascii="Times New Roman" w:eastAsia="Times New Roman" w:hAnsi="Times New Roman" w:cs="Times New Roman"/>
                <w:color w:val="000000"/>
                <w:sz w:val="20"/>
                <w:szCs w:val="20"/>
                <w:lang w:eastAsia="en-GB"/>
              </w:rPr>
              <w:t xml:space="preserve">and </w:t>
            </w:r>
            <w:r w:rsidR="000B04F1" w:rsidRPr="000B04F1">
              <w:rPr>
                <w:rFonts w:ascii="Times New Roman" w:eastAsia="Times New Roman" w:hAnsi="Times New Roman" w:cs="Times New Roman"/>
                <w:color w:val="000000"/>
                <w:sz w:val="20"/>
                <w:szCs w:val="20"/>
                <w:lang w:eastAsia="en-GB"/>
              </w:rPr>
              <w:t>combined offerings of equity and other securities</w:t>
            </w:r>
          </w:p>
        </w:tc>
        <w:tc>
          <w:tcPr>
            <w:tcW w:w="911" w:type="dxa"/>
            <w:tcBorders>
              <w:top w:val="nil"/>
              <w:left w:val="nil"/>
              <w:bottom w:val="nil"/>
              <w:right w:val="nil"/>
            </w:tcBorders>
            <w:shd w:val="clear" w:color="auto" w:fill="auto"/>
            <w:noWrap/>
            <w:vAlign w:val="bottom"/>
            <w:hideMark/>
          </w:tcPr>
          <w:p w14:paraId="70EEB1A8" w14:textId="77777777" w:rsidR="008F5500" w:rsidRPr="008F5F52" w:rsidRDefault="008F5500" w:rsidP="008F5500">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4,857</w:t>
            </w:r>
          </w:p>
        </w:tc>
      </w:tr>
      <w:tr w:rsidR="008F5500" w:rsidRPr="008F5F52" w14:paraId="5B65C807" w14:textId="77777777" w:rsidTr="001578CB">
        <w:trPr>
          <w:trHeight w:val="273"/>
        </w:trPr>
        <w:tc>
          <w:tcPr>
            <w:tcW w:w="8052" w:type="dxa"/>
            <w:tcBorders>
              <w:top w:val="nil"/>
              <w:left w:val="nil"/>
              <w:bottom w:val="single" w:sz="4" w:space="0" w:color="auto"/>
              <w:right w:val="nil"/>
            </w:tcBorders>
            <w:shd w:val="clear" w:color="auto" w:fill="auto"/>
            <w:noWrap/>
            <w:vAlign w:val="bottom"/>
            <w:hideMark/>
          </w:tcPr>
          <w:p w14:paraId="1605BE21" w14:textId="77777777" w:rsidR="008F5500" w:rsidRPr="008F5F52" w:rsidRDefault="008F5500" w:rsidP="008F5500">
            <w:pPr>
              <w:spacing w:after="0" w:line="240" w:lineRule="auto"/>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Final sample</w:t>
            </w:r>
          </w:p>
        </w:tc>
        <w:tc>
          <w:tcPr>
            <w:tcW w:w="911" w:type="dxa"/>
            <w:tcBorders>
              <w:top w:val="single" w:sz="4" w:space="0" w:color="auto"/>
              <w:left w:val="nil"/>
              <w:bottom w:val="double" w:sz="6" w:space="0" w:color="auto"/>
              <w:right w:val="nil"/>
            </w:tcBorders>
            <w:shd w:val="clear" w:color="auto" w:fill="auto"/>
            <w:noWrap/>
            <w:vAlign w:val="bottom"/>
            <w:hideMark/>
          </w:tcPr>
          <w:p w14:paraId="755BBCC5" w14:textId="77777777" w:rsidR="008F5500" w:rsidRPr="008F5F52" w:rsidRDefault="008F5500" w:rsidP="008F5500">
            <w:pPr>
              <w:spacing w:after="0" w:line="240" w:lineRule="auto"/>
              <w:jc w:val="right"/>
              <w:rPr>
                <w:rFonts w:ascii="Times New Roman" w:eastAsia="Times New Roman" w:hAnsi="Times New Roman" w:cs="Times New Roman"/>
                <w:color w:val="000000"/>
                <w:sz w:val="20"/>
                <w:szCs w:val="20"/>
                <w:lang w:val="en-GB" w:eastAsia="en-GB"/>
              </w:rPr>
            </w:pPr>
            <w:r w:rsidRPr="008F5F52">
              <w:rPr>
                <w:rFonts w:ascii="Times New Roman" w:eastAsia="Times New Roman" w:hAnsi="Times New Roman" w:cs="Times New Roman"/>
                <w:color w:val="000000"/>
                <w:sz w:val="20"/>
                <w:szCs w:val="20"/>
                <w:lang w:val="en-GB" w:eastAsia="en-GB"/>
              </w:rPr>
              <w:t>11,764</w:t>
            </w:r>
          </w:p>
        </w:tc>
      </w:tr>
    </w:tbl>
    <w:p w14:paraId="24FB055F" w14:textId="77777777" w:rsidR="005E3506" w:rsidRDefault="005E3506" w:rsidP="001578CB">
      <w:pPr>
        <w:pStyle w:val="Bibliography"/>
        <w:spacing w:before="0" w:after="0" w:line="240" w:lineRule="auto"/>
        <w:rPr>
          <w:noProof/>
          <w:sz w:val="20"/>
          <w:szCs w:val="20"/>
          <w:lang w:val="en-US"/>
        </w:rPr>
      </w:pPr>
    </w:p>
    <w:tbl>
      <w:tblPr>
        <w:tblW w:w="9024" w:type="dxa"/>
        <w:tblLook w:val="04A0" w:firstRow="1" w:lastRow="0" w:firstColumn="1" w:lastColumn="0" w:noHBand="0" w:noVBand="1"/>
      </w:tblPr>
      <w:tblGrid>
        <w:gridCol w:w="4793"/>
        <w:gridCol w:w="854"/>
        <w:gridCol w:w="3377"/>
      </w:tblGrid>
      <w:tr w:rsidR="004E7908" w:rsidRPr="004E7908" w14:paraId="33B8D0AE" w14:textId="77777777" w:rsidTr="00B6104B">
        <w:trPr>
          <w:trHeight w:val="300"/>
        </w:trPr>
        <w:tc>
          <w:tcPr>
            <w:tcW w:w="9024" w:type="dxa"/>
            <w:gridSpan w:val="3"/>
            <w:tcBorders>
              <w:top w:val="nil"/>
              <w:left w:val="nil"/>
              <w:bottom w:val="nil"/>
              <w:right w:val="nil"/>
            </w:tcBorders>
            <w:shd w:val="clear" w:color="auto" w:fill="auto"/>
            <w:noWrap/>
            <w:vAlign w:val="bottom"/>
            <w:hideMark/>
          </w:tcPr>
          <w:p w14:paraId="1F810566" w14:textId="6463FD4C" w:rsidR="004E7908" w:rsidRPr="001578CB" w:rsidRDefault="00F6402E" w:rsidP="00F6402E">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 xml:space="preserve">TABLE </w:t>
            </w:r>
            <w:r w:rsidR="00C91FDB" w:rsidRPr="001578CB">
              <w:rPr>
                <w:rFonts w:ascii="Times New Roman" w:eastAsia="Times New Roman" w:hAnsi="Times New Roman" w:cs="Times New Roman"/>
                <w:color w:val="000000"/>
                <w:sz w:val="20"/>
                <w:szCs w:val="20"/>
                <w:lang w:eastAsia="en-NZ"/>
              </w:rPr>
              <w:t>2</w:t>
            </w:r>
            <w:r w:rsidRPr="001578CB">
              <w:rPr>
                <w:rFonts w:ascii="Times New Roman" w:eastAsia="Times New Roman" w:hAnsi="Times New Roman" w:cs="Times New Roman"/>
                <w:color w:val="000000"/>
                <w:sz w:val="20"/>
                <w:szCs w:val="20"/>
                <w:lang w:eastAsia="en-NZ"/>
              </w:rPr>
              <w:t xml:space="preserve">: </w:t>
            </w:r>
            <w:r w:rsidR="00552D3C" w:rsidRPr="001578CB">
              <w:rPr>
                <w:rFonts w:ascii="Times New Roman" w:eastAsia="Times New Roman" w:hAnsi="Times New Roman" w:cs="Times New Roman"/>
                <w:color w:val="000000"/>
                <w:sz w:val="20"/>
                <w:szCs w:val="20"/>
                <w:lang w:eastAsia="en-NZ"/>
              </w:rPr>
              <w:t xml:space="preserve">Distribution of SEOs by </w:t>
            </w:r>
            <w:r w:rsidR="00EC3D39" w:rsidRPr="001578CB">
              <w:rPr>
                <w:rFonts w:ascii="Times New Roman" w:eastAsia="Times New Roman" w:hAnsi="Times New Roman" w:cs="Times New Roman"/>
                <w:color w:val="000000"/>
                <w:sz w:val="20"/>
                <w:szCs w:val="20"/>
                <w:lang w:eastAsia="en-NZ"/>
              </w:rPr>
              <w:t>c</w:t>
            </w:r>
            <w:r w:rsidR="00552D3C" w:rsidRPr="001578CB">
              <w:rPr>
                <w:rFonts w:ascii="Times New Roman" w:eastAsia="Times New Roman" w:hAnsi="Times New Roman" w:cs="Times New Roman"/>
                <w:color w:val="000000"/>
                <w:sz w:val="20"/>
                <w:szCs w:val="20"/>
                <w:lang w:eastAsia="en-NZ"/>
              </w:rPr>
              <w:t>ountry</w:t>
            </w:r>
          </w:p>
        </w:tc>
      </w:tr>
      <w:tr w:rsidR="004E7908" w:rsidRPr="004E7908" w14:paraId="00492862" w14:textId="77777777" w:rsidTr="00F6402E">
        <w:trPr>
          <w:trHeight w:val="265"/>
        </w:trPr>
        <w:tc>
          <w:tcPr>
            <w:tcW w:w="4793" w:type="dxa"/>
            <w:tcBorders>
              <w:top w:val="single" w:sz="4" w:space="0" w:color="auto"/>
              <w:left w:val="nil"/>
              <w:bottom w:val="single" w:sz="4" w:space="0" w:color="auto"/>
              <w:right w:val="nil"/>
            </w:tcBorders>
            <w:shd w:val="clear" w:color="auto" w:fill="auto"/>
            <w:noWrap/>
            <w:vAlign w:val="bottom"/>
            <w:hideMark/>
          </w:tcPr>
          <w:p w14:paraId="542A66A5"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Country</w:t>
            </w:r>
          </w:p>
        </w:tc>
        <w:tc>
          <w:tcPr>
            <w:tcW w:w="854" w:type="dxa"/>
            <w:tcBorders>
              <w:top w:val="single" w:sz="4" w:space="0" w:color="auto"/>
              <w:left w:val="nil"/>
              <w:bottom w:val="single" w:sz="4" w:space="0" w:color="auto"/>
              <w:right w:val="nil"/>
            </w:tcBorders>
            <w:shd w:val="clear" w:color="auto" w:fill="auto"/>
            <w:noWrap/>
            <w:vAlign w:val="bottom"/>
            <w:hideMark/>
          </w:tcPr>
          <w:p w14:paraId="79B0B40F" w14:textId="4936B926" w:rsidR="004E7908" w:rsidRPr="004E7908" w:rsidRDefault="00552D3C" w:rsidP="004E7908">
            <w:pPr>
              <w:spacing w:after="0" w:line="240" w:lineRule="auto"/>
              <w:jc w:val="right"/>
              <w:rPr>
                <w:rFonts w:ascii="Times New Roman" w:eastAsia="Times New Roman" w:hAnsi="Times New Roman" w:cs="Times New Roman"/>
                <w:color w:val="000000"/>
                <w:sz w:val="20"/>
                <w:szCs w:val="20"/>
                <w:lang w:eastAsia="en-NZ"/>
              </w:rPr>
            </w:pPr>
            <w:r w:rsidRPr="00B22E22">
              <w:rPr>
                <w:rFonts w:ascii="Times New Roman" w:eastAsia="Times New Roman" w:hAnsi="Times New Roman" w:cs="Times New Roman"/>
                <w:color w:val="000000"/>
                <w:sz w:val="20"/>
                <w:szCs w:val="20"/>
                <w:lang w:eastAsia="en-NZ"/>
              </w:rPr>
              <w:t>N</w:t>
            </w:r>
          </w:p>
        </w:tc>
        <w:tc>
          <w:tcPr>
            <w:tcW w:w="3377" w:type="dxa"/>
            <w:tcBorders>
              <w:top w:val="single" w:sz="4" w:space="0" w:color="auto"/>
              <w:left w:val="nil"/>
              <w:bottom w:val="single" w:sz="4" w:space="0" w:color="auto"/>
              <w:right w:val="nil"/>
            </w:tcBorders>
            <w:shd w:val="clear" w:color="auto" w:fill="auto"/>
            <w:noWrap/>
            <w:vAlign w:val="bottom"/>
            <w:hideMark/>
          </w:tcPr>
          <w:p w14:paraId="0AF8A7C7" w14:textId="3D54024B" w:rsidR="004E7908" w:rsidRPr="004E7908" w:rsidRDefault="00552D3C" w:rsidP="004E7908">
            <w:pPr>
              <w:spacing w:after="0" w:line="240" w:lineRule="auto"/>
              <w:jc w:val="right"/>
              <w:rPr>
                <w:rFonts w:ascii="Times New Roman" w:eastAsia="Times New Roman" w:hAnsi="Times New Roman" w:cs="Times New Roman"/>
                <w:color w:val="000000"/>
                <w:sz w:val="20"/>
                <w:szCs w:val="20"/>
                <w:lang w:eastAsia="en-NZ"/>
              </w:rPr>
            </w:pPr>
            <w:r w:rsidRPr="00B22E22">
              <w:rPr>
                <w:rFonts w:ascii="Times New Roman" w:eastAsia="Times New Roman" w:hAnsi="Times New Roman" w:cs="Times New Roman"/>
                <w:color w:val="000000"/>
                <w:sz w:val="20"/>
                <w:szCs w:val="20"/>
                <w:lang w:eastAsia="en-NZ"/>
              </w:rPr>
              <w:t>Percentage (%)</w:t>
            </w:r>
          </w:p>
        </w:tc>
      </w:tr>
      <w:tr w:rsidR="004E7908" w:rsidRPr="004E7908" w14:paraId="5D9D5867" w14:textId="77777777" w:rsidTr="00F6402E">
        <w:trPr>
          <w:trHeight w:val="265"/>
        </w:trPr>
        <w:tc>
          <w:tcPr>
            <w:tcW w:w="4793" w:type="dxa"/>
            <w:tcBorders>
              <w:top w:val="nil"/>
              <w:left w:val="nil"/>
              <w:bottom w:val="nil"/>
              <w:right w:val="nil"/>
            </w:tcBorders>
            <w:shd w:val="clear" w:color="auto" w:fill="auto"/>
            <w:noWrap/>
            <w:vAlign w:val="bottom"/>
            <w:hideMark/>
          </w:tcPr>
          <w:p w14:paraId="119ED5BA"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Australia</w:t>
            </w:r>
          </w:p>
        </w:tc>
        <w:tc>
          <w:tcPr>
            <w:tcW w:w="854" w:type="dxa"/>
            <w:tcBorders>
              <w:top w:val="single" w:sz="4" w:space="0" w:color="auto"/>
              <w:left w:val="nil"/>
              <w:bottom w:val="nil"/>
              <w:right w:val="nil"/>
            </w:tcBorders>
            <w:shd w:val="clear" w:color="auto" w:fill="auto"/>
            <w:noWrap/>
            <w:vAlign w:val="bottom"/>
            <w:hideMark/>
          </w:tcPr>
          <w:p w14:paraId="1579F4CD"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5,142</w:t>
            </w:r>
          </w:p>
        </w:tc>
        <w:tc>
          <w:tcPr>
            <w:tcW w:w="3377" w:type="dxa"/>
            <w:tcBorders>
              <w:top w:val="single" w:sz="4" w:space="0" w:color="auto"/>
              <w:left w:val="nil"/>
              <w:bottom w:val="nil"/>
              <w:right w:val="nil"/>
            </w:tcBorders>
            <w:shd w:val="clear" w:color="auto" w:fill="auto"/>
            <w:noWrap/>
            <w:vAlign w:val="bottom"/>
            <w:hideMark/>
          </w:tcPr>
          <w:p w14:paraId="02B10F1C"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43.71</w:t>
            </w:r>
          </w:p>
        </w:tc>
      </w:tr>
      <w:tr w:rsidR="004E7908" w:rsidRPr="004E7908" w14:paraId="58AF331F" w14:textId="77777777" w:rsidTr="00F6402E">
        <w:trPr>
          <w:trHeight w:val="265"/>
        </w:trPr>
        <w:tc>
          <w:tcPr>
            <w:tcW w:w="4793" w:type="dxa"/>
            <w:tcBorders>
              <w:top w:val="nil"/>
              <w:left w:val="nil"/>
              <w:bottom w:val="nil"/>
              <w:right w:val="nil"/>
            </w:tcBorders>
            <w:shd w:val="clear" w:color="auto" w:fill="auto"/>
            <w:noWrap/>
            <w:vAlign w:val="bottom"/>
            <w:hideMark/>
          </w:tcPr>
          <w:p w14:paraId="78555265"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Austria</w:t>
            </w:r>
          </w:p>
        </w:tc>
        <w:tc>
          <w:tcPr>
            <w:tcW w:w="854" w:type="dxa"/>
            <w:tcBorders>
              <w:top w:val="nil"/>
              <w:left w:val="nil"/>
              <w:bottom w:val="nil"/>
              <w:right w:val="nil"/>
            </w:tcBorders>
            <w:shd w:val="clear" w:color="auto" w:fill="auto"/>
            <w:noWrap/>
            <w:vAlign w:val="bottom"/>
            <w:hideMark/>
          </w:tcPr>
          <w:p w14:paraId="7C46F415"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43</w:t>
            </w:r>
          </w:p>
        </w:tc>
        <w:tc>
          <w:tcPr>
            <w:tcW w:w="3377" w:type="dxa"/>
            <w:tcBorders>
              <w:top w:val="nil"/>
              <w:left w:val="nil"/>
              <w:bottom w:val="nil"/>
              <w:right w:val="nil"/>
            </w:tcBorders>
            <w:shd w:val="clear" w:color="auto" w:fill="auto"/>
            <w:noWrap/>
            <w:vAlign w:val="bottom"/>
            <w:hideMark/>
          </w:tcPr>
          <w:p w14:paraId="490ED286"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0.37</w:t>
            </w:r>
          </w:p>
        </w:tc>
      </w:tr>
      <w:tr w:rsidR="004E7908" w:rsidRPr="004E7908" w14:paraId="750263B6" w14:textId="77777777" w:rsidTr="00F6402E">
        <w:trPr>
          <w:trHeight w:val="265"/>
        </w:trPr>
        <w:tc>
          <w:tcPr>
            <w:tcW w:w="4793" w:type="dxa"/>
            <w:tcBorders>
              <w:top w:val="nil"/>
              <w:left w:val="nil"/>
              <w:bottom w:val="nil"/>
              <w:right w:val="nil"/>
            </w:tcBorders>
            <w:shd w:val="clear" w:color="auto" w:fill="auto"/>
            <w:noWrap/>
            <w:vAlign w:val="bottom"/>
            <w:hideMark/>
          </w:tcPr>
          <w:p w14:paraId="5449214C"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Belgium</w:t>
            </w:r>
          </w:p>
        </w:tc>
        <w:tc>
          <w:tcPr>
            <w:tcW w:w="854" w:type="dxa"/>
            <w:tcBorders>
              <w:top w:val="nil"/>
              <w:left w:val="nil"/>
              <w:bottom w:val="nil"/>
              <w:right w:val="nil"/>
            </w:tcBorders>
            <w:shd w:val="clear" w:color="auto" w:fill="auto"/>
            <w:noWrap/>
            <w:vAlign w:val="bottom"/>
            <w:hideMark/>
          </w:tcPr>
          <w:p w14:paraId="148F562D"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91</w:t>
            </w:r>
          </w:p>
        </w:tc>
        <w:tc>
          <w:tcPr>
            <w:tcW w:w="3377" w:type="dxa"/>
            <w:tcBorders>
              <w:top w:val="nil"/>
              <w:left w:val="nil"/>
              <w:bottom w:val="nil"/>
              <w:right w:val="nil"/>
            </w:tcBorders>
            <w:shd w:val="clear" w:color="auto" w:fill="auto"/>
            <w:noWrap/>
            <w:vAlign w:val="bottom"/>
            <w:hideMark/>
          </w:tcPr>
          <w:p w14:paraId="59E9AF99"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0.77</w:t>
            </w:r>
          </w:p>
        </w:tc>
      </w:tr>
      <w:tr w:rsidR="004E7908" w:rsidRPr="004E7908" w14:paraId="4F999A5A" w14:textId="77777777" w:rsidTr="00F6402E">
        <w:trPr>
          <w:trHeight w:val="265"/>
        </w:trPr>
        <w:tc>
          <w:tcPr>
            <w:tcW w:w="4793" w:type="dxa"/>
            <w:tcBorders>
              <w:top w:val="nil"/>
              <w:left w:val="nil"/>
              <w:bottom w:val="nil"/>
              <w:right w:val="nil"/>
            </w:tcBorders>
            <w:shd w:val="clear" w:color="auto" w:fill="auto"/>
            <w:noWrap/>
            <w:vAlign w:val="bottom"/>
            <w:hideMark/>
          </w:tcPr>
          <w:p w14:paraId="77B822DE"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Denmark</w:t>
            </w:r>
          </w:p>
        </w:tc>
        <w:tc>
          <w:tcPr>
            <w:tcW w:w="854" w:type="dxa"/>
            <w:tcBorders>
              <w:top w:val="nil"/>
              <w:left w:val="nil"/>
              <w:bottom w:val="nil"/>
              <w:right w:val="nil"/>
            </w:tcBorders>
            <w:shd w:val="clear" w:color="auto" w:fill="auto"/>
            <w:noWrap/>
            <w:vAlign w:val="bottom"/>
            <w:hideMark/>
          </w:tcPr>
          <w:p w14:paraId="6E1E9243"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101</w:t>
            </w:r>
          </w:p>
        </w:tc>
        <w:tc>
          <w:tcPr>
            <w:tcW w:w="3377" w:type="dxa"/>
            <w:tcBorders>
              <w:top w:val="nil"/>
              <w:left w:val="nil"/>
              <w:bottom w:val="nil"/>
              <w:right w:val="nil"/>
            </w:tcBorders>
            <w:shd w:val="clear" w:color="auto" w:fill="auto"/>
            <w:noWrap/>
            <w:vAlign w:val="bottom"/>
            <w:hideMark/>
          </w:tcPr>
          <w:p w14:paraId="25DDF8AC"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0.86</w:t>
            </w:r>
          </w:p>
        </w:tc>
      </w:tr>
      <w:tr w:rsidR="004E7908" w:rsidRPr="004E7908" w14:paraId="168CABDD" w14:textId="77777777" w:rsidTr="00F6402E">
        <w:trPr>
          <w:trHeight w:val="265"/>
        </w:trPr>
        <w:tc>
          <w:tcPr>
            <w:tcW w:w="4793" w:type="dxa"/>
            <w:tcBorders>
              <w:top w:val="nil"/>
              <w:left w:val="nil"/>
              <w:bottom w:val="nil"/>
              <w:right w:val="nil"/>
            </w:tcBorders>
            <w:shd w:val="clear" w:color="auto" w:fill="auto"/>
            <w:noWrap/>
            <w:vAlign w:val="bottom"/>
            <w:hideMark/>
          </w:tcPr>
          <w:p w14:paraId="52C34D8E"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Finland</w:t>
            </w:r>
          </w:p>
        </w:tc>
        <w:tc>
          <w:tcPr>
            <w:tcW w:w="854" w:type="dxa"/>
            <w:tcBorders>
              <w:top w:val="nil"/>
              <w:left w:val="nil"/>
              <w:bottom w:val="nil"/>
              <w:right w:val="nil"/>
            </w:tcBorders>
            <w:shd w:val="clear" w:color="auto" w:fill="auto"/>
            <w:noWrap/>
            <w:vAlign w:val="bottom"/>
            <w:hideMark/>
          </w:tcPr>
          <w:p w14:paraId="298318C7"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138</w:t>
            </w:r>
          </w:p>
        </w:tc>
        <w:tc>
          <w:tcPr>
            <w:tcW w:w="3377" w:type="dxa"/>
            <w:tcBorders>
              <w:top w:val="nil"/>
              <w:left w:val="nil"/>
              <w:bottom w:val="nil"/>
              <w:right w:val="nil"/>
            </w:tcBorders>
            <w:shd w:val="clear" w:color="auto" w:fill="auto"/>
            <w:noWrap/>
            <w:vAlign w:val="bottom"/>
            <w:hideMark/>
          </w:tcPr>
          <w:p w14:paraId="255A5C1E"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1.17</w:t>
            </w:r>
          </w:p>
        </w:tc>
      </w:tr>
      <w:tr w:rsidR="004E7908" w:rsidRPr="004E7908" w14:paraId="41F1A97E" w14:textId="77777777" w:rsidTr="00F6402E">
        <w:trPr>
          <w:trHeight w:val="265"/>
        </w:trPr>
        <w:tc>
          <w:tcPr>
            <w:tcW w:w="4793" w:type="dxa"/>
            <w:tcBorders>
              <w:top w:val="nil"/>
              <w:left w:val="nil"/>
              <w:bottom w:val="nil"/>
              <w:right w:val="nil"/>
            </w:tcBorders>
            <w:shd w:val="clear" w:color="auto" w:fill="auto"/>
            <w:noWrap/>
            <w:vAlign w:val="bottom"/>
            <w:hideMark/>
          </w:tcPr>
          <w:p w14:paraId="2DAA0345"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France</w:t>
            </w:r>
          </w:p>
        </w:tc>
        <w:tc>
          <w:tcPr>
            <w:tcW w:w="854" w:type="dxa"/>
            <w:tcBorders>
              <w:top w:val="nil"/>
              <w:left w:val="nil"/>
              <w:bottom w:val="nil"/>
              <w:right w:val="nil"/>
            </w:tcBorders>
            <w:shd w:val="clear" w:color="auto" w:fill="auto"/>
            <w:noWrap/>
            <w:vAlign w:val="bottom"/>
            <w:hideMark/>
          </w:tcPr>
          <w:p w14:paraId="6E4C3A91"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516</w:t>
            </w:r>
          </w:p>
        </w:tc>
        <w:tc>
          <w:tcPr>
            <w:tcW w:w="3377" w:type="dxa"/>
            <w:tcBorders>
              <w:top w:val="nil"/>
              <w:left w:val="nil"/>
              <w:bottom w:val="nil"/>
              <w:right w:val="nil"/>
            </w:tcBorders>
            <w:shd w:val="clear" w:color="auto" w:fill="auto"/>
            <w:noWrap/>
            <w:vAlign w:val="bottom"/>
            <w:hideMark/>
          </w:tcPr>
          <w:p w14:paraId="7D6FB7F8"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4.39</w:t>
            </w:r>
          </w:p>
        </w:tc>
      </w:tr>
      <w:tr w:rsidR="004E7908" w:rsidRPr="004E7908" w14:paraId="161F026E" w14:textId="77777777" w:rsidTr="00F6402E">
        <w:trPr>
          <w:trHeight w:val="265"/>
        </w:trPr>
        <w:tc>
          <w:tcPr>
            <w:tcW w:w="4793" w:type="dxa"/>
            <w:tcBorders>
              <w:top w:val="nil"/>
              <w:left w:val="nil"/>
              <w:bottom w:val="nil"/>
              <w:right w:val="nil"/>
            </w:tcBorders>
            <w:shd w:val="clear" w:color="auto" w:fill="auto"/>
            <w:noWrap/>
            <w:vAlign w:val="bottom"/>
            <w:hideMark/>
          </w:tcPr>
          <w:p w14:paraId="6F001F1D"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Germany</w:t>
            </w:r>
          </w:p>
        </w:tc>
        <w:tc>
          <w:tcPr>
            <w:tcW w:w="854" w:type="dxa"/>
            <w:tcBorders>
              <w:top w:val="nil"/>
              <w:left w:val="nil"/>
              <w:bottom w:val="nil"/>
              <w:right w:val="nil"/>
            </w:tcBorders>
            <w:shd w:val="clear" w:color="auto" w:fill="auto"/>
            <w:noWrap/>
            <w:vAlign w:val="bottom"/>
            <w:hideMark/>
          </w:tcPr>
          <w:p w14:paraId="72B67B4A"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479</w:t>
            </w:r>
          </w:p>
        </w:tc>
        <w:tc>
          <w:tcPr>
            <w:tcW w:w="3377" w:type="dxa"/>
            <w:tcBorders>
              <w:top w:val="nil"/>
              <w:left w:val="nil"/>
              <w:bottom w:val="nil"/>
              <w:right w:val="nil"/>
            </w:tcBorders>
            <w:shd w:val="clear" w:color="auto" w:fill="auto"/>
            <w:noWrap/>
            <w:vAlign w:val="bottom"/>
            <w:hideMark/>
          </w:tcPr>
          <w:p w14:paraId="5DA4CB7A"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4.07</w:t>
            </w:r>
          </w:p>
        </w:tc>
      </w:tr>
      <w:tr w:rsidR="004E7908" w:rsidRPr="004E7908" w14:paraId="2CB72802" w14:textId="77777777" w:rsidTr="00F6402E">
        <w:trPr>
          <w:trHeight w:val="265"/>
        </w:trPr>
        <w:tc>
          <w:tcPr>
            <w:tcW w:w="4793" w:type="dxa"/>
            <w:tcBorders>
              <w:top w:val="nil"/>
              <w:left w:val="nil"/>
              <w:bottom w:val="nil"/>
              <w:right w:val="nil"/>
            </w:tcBorders>
            <w:shd w:val="clear" w:color="auto" w:fill="auto"/>
            <w:noWrap/>
            <w:vAlign w:val="bottom"/>
            <w:hideMark/>
          </w:tcPr>
          <w:p w14:paraId="3EACFA25"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Greece</w:t>
            </w:r>
          </w:p>
        </w:tc>
        <w:tc>
          <w:tcPr>
            <w:tcW w:w="854" w:type="dxa"/>
            <w:tcBorders>
              <w:top w:val="nil"/>
              <w:left w:val="nil"/>
              <w:bottom w:val="nil"/>
              <w:right w:val="nil"/>
            </w:tcBorders>
            <w:shd w:val="clear" w:color="auto" w:fill="auto"/>
            <w:noWrap/>
            <w:vAlign w:val="bottom"/>
            <w:hideMark/>
          </w:tcPr>
          <w:p w14:paraId="0D054286"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97</w:t>
            </w:r>
          </w:p>
        </w:tc>
        <w:tc>
          <w:tcPr>
            <w:tcW w:w="3377" w:type="dxa"/>
            <w:tcBorders>
              <w:top w:val="nil"/>
              <w:left w:val="nil"/>
              <w:bottom w:val="nil"/>
              <w:right w:val="nil"/>
            </w:tcBorders>
            <w:shd w:val="clear" w:color="auto" w:fill="auto"/>
            <w:noWrap/>
            <w:vAlign w:val="bottom"/>
            <w:hideMark/>
          </w:tcPr>
          <w:p w14:paraId="1DD5C36E"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0.82</w:t>
            </w:r>
          </w:p>
        </w:tc>
      </w:tr>
      <w:tr w:rsidR="004E7908" w:rsidRPr="004E7908" w14:paraId="64D08572" w14:textId="77777777" w:rsidTr="00F6402E">
        <w:trPr>
          <w:trHeight w:val="265"/>
        </w:trPr>
        <w:tc>
          <w:tcPr>
            <w:tcW w:w="4793" w:type="dxa"/>
            <w:tcBorders>
              <w:top w:val="nil"/>
              <w:left w:val="nil"/>
              <w:bottom w:val="nil"/>
              <w:right w:val="nil"/>
            </w:tcBorders>
            <w:shd w:val="clear" w:color="auto" w:fill="auto"/>
            <w:noWrap/>
            <w:vAlign w:val="bottom"/>
            <w:hideMark/>
          </w:tcPr>
          <w:p w14:paraId="09868E6D"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Hong Kong</w:t>
            </w:r>
          </w:p>
        </w:tc>
        <w:tc>
          <w:tcPr>
            <w:tcW w:w="854" w:type="dxa"/>
            <w:tcBorders>
              <w:top w:val="nil"/>
              <w:left w:val="nil"/>
              <w:bottom w:val="nil"/>
              <w:right w:val="nil"/>
            </w:tcBorders>
            <w:shd w:val="clear" w:color="auto" w:fill="auto"/>
            <w:noWrap/>
            <w:vAlign w:val="bottom"/>
            <w:hideMark/>
          </w:tcPr>
          <w:p w14:paraId="0A1299D5"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1,126</w:t>
            </w:r>
          </w:p>
        </w:tc>
        <w:tc>
          <w:tcPr>
            <w:tcW w:w="3377" w:type="dxa"/>
            <w:tcBorders>
              <w:top w:val="nil"/>
              <w:left w:val="nil"/>
              <w:bottom w:val="nil"/>
              <w:right w:val="nil"/>
            </w:tcBorders>
            <w:shd w:val="clear" w:color="auto" w:fill="auto"/>
            <w:noWrap/>
            <w:vAlign w:val="bottom"/>
            <w:hideMark/>
          </w:tcPr>
          <w:p w14:paraId="06A436A1"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9.57</w:t>
            </w:r>
          </w:p>
        </w:tc>
      </w:tr>
      <w:tr w:rsidR="004E7908" w:rsidRPr="004E7908" w14:paraId="6A167649" w14:textId="77777777" w:rsidTr="00F6402E">
        <w:trPr>
          <w:trHeight w:val="265"/>
        </w:trPr>
        <w:tc>
          <w:tcPr>
            <w:tcW w:w="4793" w:type="dxa"/>
            <w:tcBorders>
              <w:top w:val="nil"/>
              <w:left w:val="nil"/>
              <w:bottom w:val="nil"/>
              <w:right w:val="nil"/>
            </w:tcBorders>
            <w:shd w:val="clear" w:color="auto" w:fill="auto"/>
            <w:noWrap/>
            <w:vAlign w:val="bottom"/>
            <w:hideMark/>
          </w:tcPr>
          <w:p w14:paraId="2E9C40C7" w14:textId="40C0768F"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Ireland</w:t>
            </w:r>
          </w:p>
        </w:tc>
        <w:tc>
          <w:tcPr>
            <w:tcW w:w="854" w:type="dxa"/>
            <w:tcBorders>
              <w:top w:val="nil"/>
              <w:left w:val="nil"/>
              <w:bottom w:val="nil"/>
              <w:right w:val="nil"/>
            </w:tcBorders>
            <w:shd w:val="clear" w:color="auto" w:fill="auto"/>
            <w:noWrap/>
            <w:vAlign w:val="bottom"/>
            <w:hideMark/>
          </w:tcPr>
          <w:p w14:paraId="3B6DEE61"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68</w:t>
            </w:r>
          </w:p>
        </w:tc>
        <w:tc>
          <w:tcPr>
            <w:tcW w:w="3377" w:type="dxa"/>
            <w:tcBorders>
              <w:top w:val="nil"/>
              <w:left w:val="nil"/>
              <w:bottom w:val="nil"/>
              <w:right w:val="nil"/>
            </w:tcBorders>
            <w:shd w:val="clear" w:color="auto" w:fill="auto"/>
            <w:noWrap/>
            <w:vAlign w:val="bottom"/>
            <w:hideMark/>
          </w:tcPr>
          <w:p w14:paraId="035EE226"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0.58</w:t>
            </w:r>
          </w:p>
        </w:tc>
      </w:tr>
      <w:tr w:rsidR="004E7908" w:rsidRPr="004E7908" w14:paraId="7B861C24" w14:textId="77777777" w:rsidTr="00F6402E">
        <w:trPr>
          <w:trHeight w:val="265"/>
        </w:trPr>
        <w:tc>
          <w:tcPr>
            <w:tcW w:w="4793" w:type="dxa"/>
            <w:tcBorders>
              <w:top w:val="nil"/>
              <w:left w:val="nil"/>
              <w:bottom w:val="nil"/>
              <w:right w:val="nil"/>
            </w:tcBorders>
            <w:shd w:val="clear" w:color="auto" w:fill="auto"/>
            <w:noWrap/>
            <w:vAlign w:val="bottom"/>
            <w:hideMark/>
          </w:tcPr>
          <w:p w14:paraId="7AC4CE58"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Italy</w:t>
            </w:r>
          </w:p>
        </w:tc>
        <w:tc>
          <w:tcPr>
            <w:tcW w:w="854" w:type="dxa"/>
            <w:tcBorders>
              <w:top w:val="nil"/>
              <w:left w:val="nil"/>
              <w:bottom w:val="nil"/>
              <w:right w:val="nil"/>
            </w:tcBorders>
            <w:shd w:val="clear" w:color="auto" w:fill="auto"/>
            <w:noWrap/>
            <w:vAlign w:val="bottom"/>
            <w:hideMark/>
          </w:tcPr>
          <w:p w14:paraId="6B2D0186"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147</w:t>
            </w:r>
          </w:p>
        </w:tc>
        <w:tc>
          <w:tcPr>
            <w:tcW w:w="3377" w:type="dxa"/>
            <w:tcBorders>
              <w:top w:val="nil"/>
              <w:left w:val="nil"/>
              <w:bottom w:val="nil"/>
              <w:right w:val="nil"/>
            </w:tcBorders>
            <w:shd w:val="clear" w:color="auto" w:fill="auto"/>
            <w:noWrap/>
            <w:vAlign w:val="bottom"/>
            <w:hideMark/>
          </w:tcPr>
          <w:p w14:paraId="38A05FC0"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1.25</w:t>
            </w:r>
          </w:p>
        </w:tc>
      </w:tr>
      <w:tr w:rsidR="004E7908" w:rsidRPr="004E7908" w14:paraId="7D18F33D" w14:textId="77777777" w:rsidTr="00F6402E">
        <w:trPr>
          <w:trHeight w:val="265"/>
        </w:trPr>
        <w:tc>
          <w:tcPr>
            <w:tcW w:w="4793" w:type="dxa"/>
            <w:tcBorders>
              <w:top w:val="nil"/>
              <w:left w:val="nil"/>
              <w:bottom w:val="nil"/>
              <w:right w:val="nil"/>
            </w:tcBorders>
            <w:shd w:val="clear" w:color="auto" w:fill="auto"/>
            <w:noWrap/>
            <w:vAlign w:val="bottom"/>
            <w:hideMark/>
          </w:tcPr>
          <w:p w14:paraId="62F297A6"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Netherlands</w:t>
            </w:r>
          </w:p>
        </w:tc>
        <w:tc>
          <w:tcPr>
            <w:tcW w:w="854" w:type="dxa"/>
            <w:tcBorders>
              <w:top w:val="nil"/>
              <w:left w:val="nil"/>
              <w:bottom w:val="nil"/>
              <w:right w:val="nil"/>
            </w:tcBorders>
            <w:shd w:val="clear" w:color="auto" w:fill="auto"/>
            <w:noWrap/>
            <w:vAlign w:val="bottom"/>
            <w:hideMark/>
          </w:tcPr>
          <w:p w14:paraId="0FB09DD7"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92</w:t>
            </w:r>
          </w:p>
        </w:tc>
        <w:tc>
          <w:tcPr>
            <w:tcW w:w="3377" w:type="dxa"/>
            <w:tcBorders>
              <w:top w:val="nil"/>
              <w:left w:val="nil"/>
              <w:bottom w:val="nil"/>
              <w:right w:val="nil"/>
            </w:tcBorders>
            <w:shd w:val="clear" w:color="auto" w:fill="auto"/>
            <w:noWrap/>
            <w:vAlign w:val="bottom"/>
            <w:hideMark/>
          </w:tcPr>
          <w:p w14:paraId="05A3EF1E"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0.78</w:t>
            </w:r>
          </w:p>
        </w:tc>
      </w:tr>
      <w:tr w:rsidR="004E7908" w:rsidRPr="004E7908" w14:paraId="6ADFBAC6" w14:textId="77777777" w:rsidTr="00F6402E">
        <w:trPr>
          <w:trHeight w:val="265"/>
        </w:trPr>
        <w:tc>
          <w:tcPr>
            <w:tcW w:w="4793" w:type="dxa"/>
            <w:tcBorders>
              <w:top w:val="nil"/>
              <w:left w:val="nil"/>
              <w:bottom w:val="nil"/>
              <w:right w:val="nil"/>
            </w:tcBorders>
            <w:shd w:val="clear" w:color="auto" w:fill="auto"/>
            <w:noWrap/>
            <w:vAlign w:val="bottom"/>
            <w:hideMark/>
          </w:tcPr>
          <w:p w14:paraId="413864D8"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Norway</w:t>
            </w:r>
          </w:p>
        </w:tc>
        <w:tc>
          <w:tcPr>
            <w:tcW w:w="854" w:type="dxa"/>
            <w:tcBorders>
              <w:top w:val="nil"/>
              <w:left w:val="nil"/>
              <w:bottom w:val="nil"/>
              <w:right w:val="nil"/>
            </w:tcBorders>
            <w:shd w:val="clear" w:color="auto" w:fill="auto"/>
            <w:noWrap/>
            <w:vAlign w:val="bottom"/>
            <w:hideMark/>
          </w:tcPr>
          <w:p w14:paraId="2B818BB6"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237</w:t>
            </w:r>
          </w:p>
        </w:tc>
        <w:tc>
          <w:tcPr>
            <w:tcW w:w="3377" w:type="dxa"/>
            <w:tcBorders>
              <w:top w:val="nil"/>
              <w:left w:val="nil"/>
              <w:bottom w:val="nil"/>
              <w:right w:val="nil"/>
            </w:tcBorders>
            <w:shd w:val="clear" w:color="auto" w:fill="auto"/>
            <w:noWrap/>
            <w:vAlign w:val="bottom"/>
            <w:hideMark/>
          </w:tcPr>
          <w:p w14:paraId="23D98568"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2.01</w:t>
            </w:r>
          </w:p>
        </w:tc>
      </w:tr>
      <w:tr w:rsidR="004E7908" w:rsidRPr="004E7908" w14:paraId="2DDEEABA" w14:textId="77777777" w:rsidTr="00F6402E">
        <w:trPr>
          <w:trHeight w:val="265"/>
        </w:trPr>
        <w:tc>
          <w:tcPr>
            <w:tcW w:w="4793" w:type="dxa"/>
            <w:tcBorders>
              <w:top w:val="nil"/>
              <w:left w:val="nil"/>
              <w:bottom w:val="nil"/>
              <w:right w:val="nil"/>
            </w:tcBorders>
            <w:shd w:val="clear" w:color="auto" w:fill="auto"/>
            <w:noWrap/>
            <w:vAlign w:val="bottom"/>
            <w:hideMark/>
          </w:tcPr>
          <w:p w14:paraId="240D2F86"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Philippines</w:t>
            </w:r>
          </w:p>
        </w:tc>
        <w:tc>
          <w:tcPr>
            <w:tcW w:w="854" w:type="dxa"/>
            <w:tcBorders>
              <w:top w:val="nil"/>
              <w:left w:val="nil"/>
              <w:bottom w:val="nil"/>
              <w:right w:val="nil"/>
            </w:tcBorders>
            <w:shd w:val="clear" w:color="auto" w:fill="auto"/>
            <w:noWrap/>
            <w:vAlign w:val="bottom"/>
            <w:hideMark/>
          </w:tcPr>
          <w:p w14:paraId="28E4E93E"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162</w:t>
            </w:r>
          </w:p>
        </w:tc>
        <w:tc>
          <w:tcPr>
            <w:tcW w:w="3377" w:type="dxa"/>
            <w:tcBorders>
              <w:top w:val="nil"/>
              <w:left w:val="nil"/>
              <w:bottom w:val="nil"/>
              <w:right w:val="nil"/>
            </w:tcBorders>
            <w:shd w:val="clear" w:color="auto" w:fill="auto"/>
            <w:noWrap/>
            <w:vAlign w:val="bottom"/>
            <w:hideMark/>
          </w:tcPr>
          <w:p w14:paraId="70D4C6E3"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1.38</w:t>
            </w:r>
          </w:p>
        </w:tc>
      </w:tr>
      <w:tr w:rsidR="004E7908" w:rsidRPr="004E7908" w14:paraId="3E8E5C65" w14:textId="77777777" w:rsidTr="00F6402E">
        <w:trPr>
          <w:trHeight w:val="265"/>
        </w:trPr>
        <w:tc>
          <w:tcPr>
            <w:tcW w:w="4793" w:type="dxa"/>
            <w:tcBorders>
              <w:top w:val="nil"/>
              <w:left w:val="nil"/>
              <w:bottom w:val="nil"/>
              <w:right w:val="nil"/>
            </w:tcBorders>
            <w:shd w:val="clear" w:color="auto" w:fill="auto"/>
            <w:noWrap/>
            <w:vAlign w:val="bottom"/>
            <w:hideMark/>
          </w:tcPr>
          <w:p w14:paraId="5BDFA993"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Poland</w:t>
            </w:r>
          </w:p>
        </w:tc>
        <w:tc>
          <w:tcPr>
            <w:tcW w:w="854" w:type="dxa"/>
            <w:tcBorders>
              <w:top w:val="nil"/>
              <w:left w:val="nil"/>
              <w:bottom w:val="nil"/>
              <w:right w:val="nil"/>
            </w:tcBorders>
            <w:shd w:val="clear" w:color="auto" w:fill="auto"/>
            <w:noWrap/>
            <w:vAlign w:val="bottom"/>
            <w:hideMark/>
          </w:tcPr>
          <w:p w14:paraId="2E795B99"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184</w:t>
            </w:r>
          </w:p>
        </w:tc>
        <w:tc>
          <w:tcPr>
            <w:tcW w:w="3377" w:type="dxa"/>
            <w:tcBorders>
              <w:top w:val="nil"/>
              <w:left w:val="nil"/>
              <w:bottom w:val="nil"/>
              <w:right w:val="nil"/>
            </w:tcBorders>
            <w:shd w:val="clear" w:color="auto" w:fill="auto"/>
            <w:noWrap/>
            <w:vAlign w:val="bottom"/>
            <w:hideMark/>
          </w:tcPr>
          <w:p w14:paraId="00BBC557"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1.56</w:t>
            </w:r>
          </w:p>
        </w:tc>
      </w:tr>
      <w:tr w:rsidR="004E7908" w:rsidRPr="004E7908" w14:paraId="1325598A" w14:textId="77777777" w:rsidTr="00F6402E">
        <w:trPr>
          <w:trHeight w:val="265"/>
        </w:trPr>
        <w:tc>
          <w:tcPr>
            <w:tcW w:w="4793" w:type="dxa"/>
            <w:tcBorders>
              <w:top w:val="nil"/>
              <w:left w:val="nil"/>
              <w:bottom w:val="nil"/>
              <w:right w:val="nil"/>
            </w:tcBorders>
            <w:shd w:val="clear" w:color="auto" w:fill="auto"/>
            <w:noWrap/>
            <w:vAlign w:val="bottom"/>
            <w:hideMark/>
          </w:tcPr>
          <w:p w14:paraId="767B5499"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Portugal</w:t>
            </w:r>
          </w:p>
        </w:tc>
        <w:tc>
          <w:tcPr>
            <w:tcW w:w="854" w:type="dxa"/>
            <w:tcBorders>
              <w:top w:val="nil"/>
              <w:left w:val="nil"/>
              <w:bottom w:val="nil"/>
              <w:right w:val="nil"/>
            </w:tcBorders>
            <w:shd w:val="clear" w:color="auto" w:fill="auto"/>
            <w:noWrap/>
            <w:vAlign w:val="bottom"/>
            <w:hideMark/>
          </w:tcPr>
          <w:p w14:paraId="746968F1"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27</w:t>
            </w:r>
          </w:p>
        </w:tc>
        <w:tc>
          <w:tcPr>
            <w:tcW w:w="3377" w:type="dxa"/>
            <w:tcBorders>
              <w:top w:val="nil"/>
              <w:left w:val="nil"/>
              <w:bottom w:val="nil"/>
              <w:right w:val="nil"/>
            </w:tcBorders>
            <w:shd w:val="clear" w:color="auto" w:fill="auto"/>
            <w:noWrap/>
            <w:vAlign w:val="bottom"/>
            <w:hideMark/>
          </w:tcPr>
          <w:p w14:paraId="0AEBCD08"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0.23</w:t>
            </w:r>
          </w:p>
        </w:tc>
      </w:tr>
      <w:tr w:rsidR="004E7908" w:rsidRPr="004E7908" w14:paraId="1375FD14" w14:textId="77777777" w:rsidTr="00F6402E">
        <w:trPr>
          <w:trHeight w:val="265"/>
        </w:trPr>
        <w:tc>
          <w:tcPr>
            <w:tcW w:w="4793" w:type="dxa"/>
            <w:tcBorders>
              <w:top w:val="nil"/>
              <w:left w:val="nil"/>
              <w:bottom w:val="nil"/>
              <w:right w:val="nil"/>
            </w:tcBorders>
            <w:shd w:val="clear" w:color="auto" w:fill="auto"/>
            <w:noWrap/>
            <w:vAlign w:val="bottom"/>
            <w:hideMark/>
          </w:tcPr>
          <w:p w14:paraId="1AE8CE5D"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Singapore</w:t>
            </w:r>
          </w:p>
        </w:tc>
        <w:tc>
          <w:tcPr>
            <w:tcW w:w="854" w:type="dxa"/>
            <w:tcBorders>
              <w:top w:val="nil"/>
              <w:left w:val="nil"/>
              <w:bottom w:val="nil"/>
              <w:right w:val="nil"/>
            </w:tcBorders>
            <w:shd w:val="clear" w:color="auto" w:fill="auto"/>
            <w:noWrap/>
            <w:vAlign w:val="bottom"/>
            <w:hideMark/>
          </w:tcPr>
          <w:p w14:paraId="70418758"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489</w:t>
            </w:r>
          </w:p>
        </w:tc>
        <w:tc>
          <w:tcPr>
            <w:tcW w:w="3377" w:type="dxa"/>
            <w:tcBorders>
              <w:top w:val="nil"/>
              <w:left w:val="nil"/>
              <w:bottom w:val="nil"/>
              <w:right w:val="nil"/>
            </w:tcBorders>
            <w:shd w:val="clear" w:color="auto" w:fill="auto"/>
            <w:noWrap/>
            <w:vAlign w:val="bottom"/>
            <w:hideMark/>
          </w:tcPr>
          <w:p w14:paraId="1CF238B3"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4.16</w:t>
            </w:r>
          </w:p>
        </w:tc>
      </w:tr>
      <w:tr w:rsidR="004E7908" w:rsidRPr="004E7908" w14:paraId="290C1B91" w14:textId="77777777" w:rsidTr="00F6402E">
        <w:trPr>
          <w:trHeight w:val="265"/>
        </w:trPr>
        <w:tc>
          <w:tcPr>
            <w:tcW w:w="4793" w:type="dxa"/>
            <w:tcBorders>
              <w:top w:val="nil"/>
              <w:left w:val="nil"/>
              <w:bottom w:val="nil"/>
              <w:right w:val="nil"/>
            </w:tcBorders>
            <w:shd w:val="clear" w:color="auto" w:fill="auto"/>
            <w:noWrap/>
            <w:vAlign w:val="bottom"/>
            <w:hideMark/>
          </w:tcPr>
          <w:p w14:paraId="307A97C5"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South Africa</w:t>
            </w:r>
          </w:p>
        </w:tc>
        <w:tc>
          <w:tcPr>
            <w:tcW w:w="854" w:type="dxa"/>
            <w:tcBorders>
              <w:top w:val="nil"/>
              <w:left w:val="nil"/>
              <w:bottom w:val="nil"/>
              <w:right w:val="nil"/>
            </w:tcBorders>
            <w:shd w:val="clear" w:color="auto" w:fill="auto"/>
            <w:noWrap/>
            <w:vAlign w:val="bottom"/>
            <w:hideMark/>
          </w:tcPr>
          <w:p w14:paraId="6A1D408C"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147</w:t>
            </w:r>
          </w:p>
        </w:tc>
        <w:tc>
          <w:tcPr>
            <w:tcW w:w="3377" w:type="dxa"/>
            <w:tcBorders>
              <w:top w:val="nil"/>
              <w:left w:val="nil"/>
              <w:bottom w:val="nil"/>
              <w:right w:val="nil"/>
            </w:tcBorders>
            <w:shd w:val="clear" w:color="auto" w:fill="auto"/>
            <w:noWrap/>
            <w:vAlign w:val="bottom"/>
            <w:hideMark/>
          </w:tcPr>
          <w:p w14:paraId="7F422ED8"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1.25</w:t>
            </w:r>
          </w:p>
        </w:tc>
      </w:tr>
      <w:tr w:rsidR="004E7908" w:rsidRPr="004E7908" w14:paraId="701C1944" w14:textId="77777777" w:rsidTr="00F6402E">
        <w:trPr>
          <w:trHeight w:val="265"/>
        </w:trPr>
        <w:tc>
          <w:tcPr>
            <w:tcW w:w="4793" w:type="dxa"/>
            <w:tcBorders>
              <w:top w:val="nil"/>
              <w:left w:val="nil"/>
              <w:bottom w:val="nil"/>
              <w:right w:val="nil"/>
            </w:tcBorders>
            <w:shd w:val="clear" w:color="auto" w:fill="auto"/>
            <w:noWrap/>
            <w:vAlign w:val="bottom"/>
            <w:hideMark/>
          </w:tcPr>
          <w:p w14:paraId="508A5055"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Spain</w:t>
            </w:r>
          </w:p>
        </w:tc>
        <w:tc>
          <w:tcPr>
            <w:tcW w:w="854" w:type="dxa"/>
            <w:tcBorders>
              <w:top w:val="nil"/>
              <w:left w:val="nil"/>
              <w:bottom w:val="nil"/>
              <w:right w:val="nil"/>
            </w:tcBorders>
            <w:shd w:val="clear" w:color="auto" w:fill="auto"/>
            <w:noWrap/>
            <w:vAlign w:val="bottom"/>
            <w:hideMark/>
          </w:tcPr>
          <w:p w14:paraId="6538B1BB"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159</w:t>
            </w:r>
          </w:p>
        </w:tc>
        <w:tc>
          <w:tcPr>
            <w:tcW w:w="3377" w:type="dxa"/>
            <w:tcBorders>
              <w:top w:val="nil"/>
              <w:left w:val="nil"/>
              <w:bottom w:val="nil"/>
              <w:right w:val="nil"/>
            </w:tcBorders>
            <w:shd w:val="clear" w:color="auto" w:fill="auto"/>
            <w:noWrap/>
            <w:vAlign w:val="bottom"/>
            <w:hideMark/>
          </w:tcPr>
          <w:p w14:paraId="4B073F81"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1.35</w:t>
            </w:r>
          </w:p>
        </w:tc>
      </w:tr>
      <w:tr w:rsidR="004E7908" w:rsidRPr="004E7908" w14:paraId="6E999C46" w14:textId="77777777" w:rsidTr="00F6402E">
        <w:trPr>
          <w:trHeight w:val="265"/>
        </w:trPr>
        <w:tc>
          <w:tcPr>
            <w:tcW w:w="4793" w:type="dxa"/>
            <w:tcBorders>
              <w:top w:val="nil"/>
              <w:left w:val="nil"/>
              <w:bottom w:val="nil"/>
              <w:right w:val="nil"/>
            </w:tcBorders>
            <w:shd w:val="clear" w:color="auto" w:fill="auto"/>
            <w:noWrap/>
            <w:vAlign w:val="bottom"/>
            <w:hideMark/>
          </w:tcPr>
          <w:p w14:paraId="01024B01"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Sweden</w:t>
            </w:r>
          </w:p>
        </w:tc>
        <w:tc>
          <w:tcPr>
            <w:tcW w:w="854" w:type="dxa"/>
            <w:tcBorders>
              <w:top w:val="nil"/>
              <w:left w:val="nil"/>
              <w:bottom w:val="nil"/>
              <w:right w:val="nil"/>
            </w:tcBorders>
            <w:shd w:val="clear" w:color="auto" w:fill="auto"/>
            <w:noWrap/>
            <w:vAlign w:val="bottom"/>
            <w:hideMark/>
          </w:tcPr>
          <w:p w14:paraId="50041E3C"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494</w:t>
            </w:r>
          </w:p>
        </w:tc>
        <w:tc>
          <w:tcPr>
            <w:tcW w:w="3377" w:type="dxa"/>
            <w:tcBorders>
              <w:top w:val="nil"/>
              <w:left w:val="nil"/>
              <w:bottom w:val="nil"/>
              <w:right w:val="nil"/>
            </w:tcBorders>
            <w:shd w:val="clear" w:color="auto" w:fill="auto"/>
            <w:noWrap/>
            <w:vAlign w:val="bottom"/>
            <w:hideMark/>
          </w:tcPr>
          <w:p w14:paraId="4908B877"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4.2</w:t>
            </w:r>
          </w:p>
        </w:tc>
      </w:tr>
      <w:tr w:rsidR="004E7908" w:rsidRPr="004E7908" w14:paraId="0E5851B7" w14:textId="77777777" w:rsidTr="00F6402E">
        <w:trPr>
          <w:trHeight w:val="265"/>
        </w:trPr>
        <w:tc>
          <w:tcPr>
            <w:tcW w:w="4793" w:type="dxa"/>
            <w:tcBorders>
              <w:top w:val="nil"/>
              <w:left w:val="nil"/>
              <w:bottom w:val="nil"/>
              <w:right w:val="nil"/>
            </w:tcBorders>
            <w:shd w:val="clear" w:color="auto" w:fill="auto"/>
            <w:noWrap/>
            <w:vAlign w:val="bottom"/>
            <w:hideMark/>
          </w:tcPr>
          <w:p w14:paraId="160D0A9D"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Turkey</w:t>
            </w:r>
          </w:p>
        </w:tc>
        <w:tc>
          <w:tcPr>
            <w:tcW w:w="854" w:type="dxa"/>
            <w:tcBorders>
              <w:top w:val="nil"/>
              <w:left w:val="nil"/>
              <w:bottom w:val="nil"/>
              <w:right w:val="nil"/>
            </w:tcBorders>
            <w:shd w:val="clear" w:color="auto" w:fill="auto"/>
            <w:noWrap/>
            <w:vAlign w:val="bottom"/>
            <w:hideMark/>
          </w:tcPr>
          <w:p w14:paraId="0D5CF325"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137</w:t>
            </w:r>
          </w:p>
        </w:tc>
        <w:tc>
          <w:tcPr>
            <w:tcW w:w="3377" w:type="dxa"/>
            <w:tcBorders>
              <w:top w:val="nil"/>
              <w:left w:val="nil"/>
              <w:bottom w:val="nil"/>
              <w:right w:val="nil"/>
            </w:tcBorders>
            <w:shd w:val="clear" w:color="auto" w:fill="auto"/>
            <w:noWrap/>
            <w:vAlign w:val="bottom"/>
            <w:hideMark/>
          </w:tcPr>
          <w:p w14:paraId="41E87835"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1.16</w:t>
            </w:r>
          </w:p>
        </w:tc>
      </w:tr>
      <w:tr w:rsidR="004E7908" w:rsidRPr="004E7908" w14:paraId="139B8F8F" w14:textId="77777777" w:rsidTr="00F6402E">
        <w:trPr>
          <w:trHeight w:val="265"/>
        </w:trPr>
        <w:tc>
          <w:tcPr>
            <w:tcW w:w="4793" w:type="dxa"/>
            <w:tcBorders>
              <w:top w:val="nil"/>
              <w:left w:val="nil"/>
              <w:bottom w:val="single" w:sz="4" w:space="0" w:color="auto"/>
              <w:right w:val="nil"/>
            </w:tcBorders>
            <w:shd w:val="clear" w:color="auto" w:fill="auto"/>
            <w:noWrap/>
            <w:vAlign w:val="bottom"/>
            <w:hideMark/>
          </w:tcPr>
          <w:p w14:paraId="6D437F64"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United Kingdom</w:t>
            </w:r>
          </w:p>
        </w:tc>
        <w:tc>
          <w:tcPr>
            <w:tcW w:w="854" w:type="dxa"/>
            <w:tcBorders>
              <w:top w:val="nil"/>
              <w:left w:val="nil"/>
              <w:bottom w:val="nil"/>
              <w:right w:val="nil"/>
            </w:tcBorders>
            <w:shd w:val="clear" w:color="auto" w:fill="auto"/>
            <w:noWrap/>
            <w:vAlign w:val="bottom"/>
            <w:hideMark/>
          </w:tcPr>
          <w:p w14:paraId="517B1C15"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1,688</w:t>
            </w:r>
          </w:p>
        </w:tc>
        <w:tc>
          <w:tcPr>
            <w:tcW w:w="3377" w:type="dxa"/>
            <w:tcBorders>
              <w:top w:val="nil"/>
              <w:left w:val="nil"/>
              <w:bottom w:val="nil"/>
              <w:right w:val="nil"/>
            </w:tcBorders>
            <w:shd w:val="clear" w:color="auto" w:fill="auto"/>
            <w:noWrap/>
            <w:vAlign w:val="bottom"/>
            <w:hideMark/>
          </w:tcPr>
          <w:p w14:paraId="7AF13C19"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14.35</w:t>
            </w:r>
          </w:p>
        </w:tc>
      </w:tr>
      <w:tr w:rsidR="004E7908" w:rsidRPr="004E7908" w14:paraId="16CB5868" w14:textId="77777777" w:rsidTr="001578CB">
        <w:trPr>
          <w:trHeight w:val="70"/>
        </w:trPr>
        <w:tc>
          <w:tcPr>
            <w:tcW w:w="4793" w:type="dxa"/>
            <w:tcBorders>
              <w:top w:val="single" w:sz="4" w:space="0" w:color="auto"/>
              <w:left w:val="nil"/>
              <w:bottom w:val="single" w:sz="4" w:space="0" w:color="auto"/>
              <w:right w:val="nil"/>
            </w:tcBorders>
            <w:shd w:val="clear" w:color="auto" w:fill="auto"/>
            <w:noWrap/>
            <w:vAlign w:val="bottom"/>
            <w:hideMark/>
          </w:tcPr>
          <w:p w14:paraId="51DF19D2" w14:textId="77777777" w:rsidR="004E7908" w:rsidRPr="004E7908" w:rsidRDefault="004E7908" w:rsidP="004E7908">
            <w:pPr>
              <w:spacing w:after="0" w:line="240" w:lineRule="auto"/>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Total</w:t>
            </w:r>
          </w:p>
        </w:tc>
        <w:tc>
          <w:tcPr>
            <w:tcW w:w="854" w:type="dxa"/>
            <w:tcBorders>
              <w:top w:val="single" w:sz="4" w:space="0" w:color="auto"/>
              <w:left w:val="nil"/>
              <w:bottom w:val="single" w:sz="4" w:space="0" w:color="auto"/>
              <w:right w:val="nil"/>
            </w:tcBorders>
            <w:shd w:val="clear" w:color="auto" w:fill="auto"/>
            <w:noWrap/>
            <w:vAlign w:val="bottom"/>
            <w:hideMark/>
          </w:tcPr>
          <w:p w14:paraId="76EE61F4"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11,764</w:t>
            </w:r>
          </w:p>
        </w:tc>
        <w:tc>
          <w:tcPr>
            <w:tcW w:w="3377" w:type="dxa"/>
            <w:tcBorders>
              <w:top w:val="single" w:sz="4" w:space="0" w:color="auto"/>
              <w:left w:val="nil"/>
              <w:bottom w:val="single" w:sz="4" w:space="0" w:color="auto"/>
              <w:right w:val="nil"/>
            </w:tcBorders>
            <w:shd w:val="clear" w:color="auto" w:fill="auto"/>
            <w:noWrap/>
            <w:vAlign w:val="bottom"/>
            <w:hideMark/>
          </w:tcPr>
          <w:p w14:paraId="3230D796" w14:textId="77777777" w:rsidR="004E7908" w:rsidRPr="004E7908" w:rsidRDefault="004E7908" w:rsidP="004E7908">
            <w:pPr>
              <w:spacing w:after="0" w:line="240" w:lineRule="auto"/>
              <w:jc w:val="right"/>
              <w:rPr>
                <w:rFonts w:ascii="Times New Roman" w:eastAsia="Times New Roman" w:hAnsi="Times New Roman" w:cs="Times New Roman"/>
                <w:color w:val="000000"/>
                <w:sz w:val="20"/>
                <w:szCs w:val="20"/>
                <w:lang w:eastAsia="en-NZ"/>
              </w:rPr>
            </w:pPr>
            <w:r w:rsidRPr="004E7908">
              <w:rPr>
                <w:rFonts w:ascii="Times New Roman" w:eastAsia="Times New Roman" w:hAnsi="Times New Roman" w:cs="Times New Roman"/>
                <w:color w:val="000000"/>
                <w:sz w:val="20"/>
                <w:szCs w:val="20"/>
                <w:lang w:eastAsia="en-NZ"/>
              </w:rPr>
              <w:t>100</w:t>
            </w:r>
          </w:p>
        </w:tc>
      </w:tr>
    </w:tbl>
    <w:p w14:paraId="20198681" w14:textId="77777777" w:rsidR="00C3378B" w:rsidRPr="001578CB" w:rsidRDefault="00C3378B" w:rsidP="001578CB">
      <w:pPr>
        <w:spacing w:after="0"/>
        <w:rPr>
          <w:rFonts w:ascii="Times New Roman" w:hAnsi="Times New Roman" w:cs="Times New Roman"/>
          <w:sz w:val="20"/>
          <w:szCs w:val="20"/>
          <w:lang w:val="en-US"/>
        </w:rPr>
      </w:pPr>
    </w:p>
    <w:tbl>
      <w:tblPr>
        <w:tblW w:w="9026" w:type="dxa"/>
        <w:jc w:val="center"/>
        <w:tblLayout w:type="fixed"/>
        <w:tblLook w:val="04A0" w:firstRow="1" w:lastRow="0" w:firstColumn="1" w:lastColumn="0" w:noHBand="0" w:noVBand="1"/>
      </w:tblPr>
      <w:tblGrid>
        <w:gridCol w:w="670"/>
        <w:gridCol w:w="2089"/>
        <w:gridCol w:w="2089"/>
        <w:gridCol w:w="2089"/>
        <w:gridCol w:w="2089"/>
      </w:tblGrid>
      <w:tr w:rsidR="005E3506" w:rsidRPr="00B6104B" w14:paraId="2A8118EA" w14:textId="77777777" w:rsidTr="001578CB">
        <w:trPr>
          <w:trHeight w:val="80"/>
          <w:jc w:val="center"/>
        </w:trPr>
        <w:tc>
          <w:tcPr>
            <w:tcW w:w="9026" w:type="dxa"/>
            <w:gridSpan w:val="5"/>
            <w:tcBorders>
              <w:left w:val="nil"/>
              <w:bottom w:val="single" w:sz="4" w:space="0" w:color="auto"/>
              <w:right w:val="nil"/>
            </w:tcBorders>
            <w:shd w:val="clear" w:color="auto" w:fill="auto"/>
            <w:noWrap/>
            <w:vAlign w:val="center"/>
          </w:tcPr>
          <w:p w14:paraId="7CAD96DA" w14:textId="6AF94325" w:rsidR="005E3506" w:rsidRPr="001578CB" w:rsidRDefault="00F6402E" w:rsidP="00F6402E">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 xml:space="preserve">TABLE </w:t>
            </w:r>
            <w:r w:rsidR="005324AA">
              <w:rPr>
                <w:rFonts w:ascii="Times New Roman" w:eastAsia="Times New Roman" w:hAnsi="Times New Roman" w:cs="Times New Roman"/>
                <w:color w:val="000000"/>
                <w:sz w:val="20"/>
                <w:szCs w:val="20"/>
                <w:lang w:eastAsia="en-NZ"/>
              </w:rPr>
              <w:t>3</w:t>
            </w:r>
            <w:r w:rsidR="005E3506" w:rsidRPr="001578CB">
              <w:rPr>
                <w:rFonts w:ascii="Times New Roman" w:eastAsia="Times New Roman" w:hAnsi="Times New Roman" w:cs="Times New Roman"/>
                <w:color w:val="000000"/>
                <w:sz w:val="20"/>
                <w:szCs w:val="20"/>
                <w:lang w:eastAsia="en-NZ"/>
              </w:rPr>
              <w:t xml:space="preserve">: Distribution of SEOs </w:t>
            </w:r>
            <w:r w:rsidR="00EC3D39" w:rsidRPr="001578CB">
              <w:rPr>
                <w:rFonts w:ascii="Times New Roman" w:eastAsia="Times New Roman" w:hAnsi="Times New Roman" w:cs="Times New Roman"/>
                <w:color w:val="000000"/>
                <w:sz w:val="20"/>
                <w:szCs w:val="20"/>
                <w:lang w:eastAsia="en-NZ"/>
              </w:rPr>
              <w:t>by year</w:t>
            </w:r>
          </w:p>
        </w:tc>
      </w:tr>
      <w:tr w:rsidR="005E3506" w:rsidRPr="00B6104B" w14:paraId="10A21423" w14:textId="77777777" w:rsidTr="001578CB">
        <w:trPr>
          <w:trHeight w:val="70"/>
          <w:jc w:val="center"/>
        </w:trPr>
        <w:tc>
          <w:tcPr>
            <w:tcW w:w="670" w:type="dxa"/>
            <w:tcBorders>
              <w:top w:val="single" w:sz="4" w:space="0" w:color="auto"/>
              <w:left w:val="nil"/>
              <w:bottom w:val="single" w:sz="4" w:space="0" w:color="auto"/>
              <w:right w:val="nil"/>
            </w:tcBorders>
            <w:shd w:val="clear" w:color="auto" w:fill="auto"/>
            <w:noWrap/>
            <w:vAlign w:val="center"/>
            <w:hideMark/>
          </w:tcPr>
          <w:p w14:paraId="35A59C41"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Year</w:t>
            </w:r>
          </w:p>
        </w:tc>
        <w:tc>
          <w:tcPr>
            <w:tcW w:w="2089" w:type="dxa"/>
            <w:tcBorders>
              <w:top w:val="single" w:sz="4" w:space="0" w:color="auto"/>
              <w:left w:val="nil"/>
              <w:bottom w:val="single" w:sz="4" w:space="0" w:color="auto"/>
              <w:right w:val="nil"/>
            </w:tcBorders>
            <w:shd w:val="clear" w:color="auto" w:fill="auto"/>
            <w:noWrap/>
            <w:vAlign w:val="center"/>
            <w:hideMark/>
          </w:tcPr>
          <w:p w14:paraId="2D683BE3"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No. of SEOs</w:t>
            </w:r>
          </w:p>
        </w:tc>
        <w:tc>
          <w:tcPr>
            <w:tcW w:w="2089" w:type="dxa"/>
            <w:tcBorders>
              <w:top w:val="single" w:sz="4" w:space="0" w:color="auto"/>
              <w:left w:val="nil"/>
              <w:bottom w:val="single" w:sz="4" w:space="0" w:color="auto"/>
              <w:right w:val="nil"/>
            </w:tcBorders>
            <w:shd w:val="clear" w:color="auto" w:fill="auto"/>
            <w:noWrap/>
            <w:vAlign w:val="center"/>
            <w:hideMark/>
          </w:tcPr>
          <w:p w14:paraId="12CE37E1"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Percentage (%)</w:t>
            </w:r>
          </w:p>
        </w:tc>
        <w:tc>
          <w:tcPr>
            <w:tcW w:w="2089" w:type="dxa"/>
            <w:tcBorders>
              <w:top w:val="single" w:sz="4" w:space="0" w:color="auto"/>
              <w:left w:val="nil"/>
              <w:bottom w:val="single" w:sz="4" w:space="0" w:color="auto"/>
              <w:right w:val="nil"/>
            </w:tcBorders>
            <w:shd w:val="clear" w:color="auto" w:fill="auto"/>
            <w:noWrap/>
            <w:vAlign w:val="center"/>
            <w:hideMark/>
          </w:tcPr>
          <w:p w14:paraId="0C426000"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Changes in no. of SEOs</w:t>
            </w:r>
          </w:p>
        </w:tc>
        <w:tc>
          <w:tcPr>
            <w:tcW w:w="2089" w:type="dxa"/>
            <w:tcBorders>
              <w:top w:val="single" w:sz="4" w:space="0" w:color="auto"/>
              <w:left w:val="nil"/>
              <w:bottom w:val="single" w:sz="4" w:space="0" w:color="auto"/>
              <w:right w:val="nil"/>
            </w:tcBorders>
            <w:shd w:val="clear" w:color="auto" w:fill="auto"/>
            <w:noWrap/>
            <w:vAlign w:val="center"/>
            <w:hideMark/>
          </w:tcPr>
          <w:p w14:paraId="69698862"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 change in no. of SEOs (%)</w:t>
            </w:r>
          </w:p>
        </w:tc>
      </w:tr>
      <w:tr w:rsidR="004931F2" w:rsidRPr="00B6104B" w14:paraId="1CB91814"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57EDF259"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2005</w:t>
            </w:r>
          </w:p>
        </w:tc>
        <w:tc>
          <w:tcPr>
            <w:tcW w:w="2089" w:type="dxa"/>
            <w:tcBorders>
              <w:top w:val="nil"/>
              <w:left w:val="nil"/>
              <w:bottom w:val="nil"/>
              <w:right w:val="nil"/>
            </w:tcBorders>
            <w:shd w:val="clear" w:color="auto" w:fill="auto"/>
            <w:noWrap/>
            <w:vAlign w:val="bottom"/>
          </w:tcPr>
          <w:p w14:paraId="5E7725A2"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367</w:t>
            </w:r>
          </w:p>
        </w:tc>
        <w:tc>
          <w:tcPr>
            <w:tcW w:w="2089" w:type="dxa"/>
            <w:tcBorders>
              <w:top w:val="nil"/>
              <w:left w:val="nil"/>
              <w:bottom w:val="nil"/>
              <w:right w:val="nil"/>
            </w:tcBorders>
            <w:shd w:val="clear" w:color="auto" w:fill="auto"/>
            <w:noWrap/>
            <w:vAlign w:val="bottom"/>
          </w:tcPr>
          <w:p w14:paraId="1BEBA7DF" w14:textId="3291111C"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3.12</w:t>
            </w:r>
          </w:p>
        </w:tc>
        <w:tc>
          <w:tcPr>
            <w:tcW w:w="2089" w:type="dxa"/>
            <w:tcBorders>
              <w:top w:val="nil"/>
              <w:left w:val="nil"/>
              <w:bottom w:val="nil"/>
              <w:right w:val="nil"/>
            </w:tcBorders>
            <w:shd w:val="clear" w:color="auto" w:fill="auto"/>
            <w:noWrap/>
            <w:vAlign w:val="bottom"/>
          </w:tcPr>
          <w:p w14:paraId="3A93DEB1"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-37</w:t>
            </w:r>
          </w:p>
        </w:tc>
        <w:tc>
          <w:tcPr>
            <w:tcW w:w="2089" w:type="dxa"/>
            <w:tcBorders>
              <w:top w:val="nil"/>
              <w:left w:val="nil"/>
              <w:bottom w:val="nil"/>
              <w:right w:val="nil"/>
            </w:tcBorders>
            <w:shd w:val="clear" w:color="auto" w:fill="auto"/>
            <w:noWrap/>
            <w:vAlign w:val="bottom"/>
          </w:tcPr>
          <w:p w14:paraId="55D30D7B"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-9.16%</w:t>
            </w:r>
          </w:p>
        </w:tc>
      </w:tr>
      <w:tr w:rsidR="004931F2" w:rsidRPr="00B6104B" w14:paraId="1524FCD3"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03DD7C6E"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2006</w:t>
            </w:r>
          </w:p>
        </w:tc>
        <w:tc>
          <w:tcPr>
            <w:tcW w:w="2089" w:type="dxa"/>
            <w:tcBorders>
              <w:top w:val="nil"/>
              <w:left w:val="nil"/>
              <w:bottom w:val="nil"/>
              <w:right w:val="nil"/>
            </w:tcBorders>
            <w:shd w:val="clear" w:color="auto" w:fill="auto"/>
            <w:noWrap/>
            <w:vAlign w:val="bottom"/>
          </w:tcPr>
          <w:p w14:paraId="62FB2E2C"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463</w:t>
            </w:r>
          </w:p>
        </w:tc>
        <w:tc>
          <w:tcPr>
            <w:tcW w:w="2089" w:type="dxa"/>
            <w:tcBorders>
              <w:top w:val="nil"/>
              <w:left w:val="nil"/>
              <w:bottom w:val="nil"/>
              <w:right w:val="nil"/>
            </w:tcBorders>
            <w:shd w:val="clear" w:color="auto" w:fill="auto"/>
            <w:noWrap/>
            <w:vAlign w:val="bottom"/>
          </w:tcPr>
          <w:p w14:paraId="59274040" w14:textId="024A2BC1"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3.</w:t>
            </w:r>
            <w:r>
              <w:rPr>
                <w:rFonts w:ascii="Times New Roman" w:hAnsi="Times New Roman" w:cs="Times New Roman"/>
                <w:color w:val="000000"/>
                <w:sz w:val="20"/>
                <w:szCs w:val="20"/>
              </w:rPr>
              <w:t>94</w:t>
            </w:r>
          </w:p>
        </w:tc>
        <w:tc>
          <w:tcPr>
            <w:tcW w:w="2089" w:type="dxa"/>
            <w:tcBorders>
              <w:top w:val="nil"/>
              <w:left w:val="nil"/>
              <w:bottom w:val="nil"/>
              <w:right w:val="nil"/>
            </w:tcBorders>
            <w:shd w:val="clear" w:color="auto" w:fill="auto"/>
            <w:noWrap/>
            <w:vAlign w:val="bottom"/>
          </w:tcPr>
          <w:p w14:paraId="51D8B12A"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96</w:t>
            </w:r>
          </w:p>
        </w:tc>
        <w:tc>
          <w:tcPr>
            <w:tcW w:w="2089" w:type="dxa"/>
            <w:tcBorders>
              <w:top w:val="nil"/>
              <w:left w:val="nil"/>
              <w:bottom w:val="nil"/>
              <w:right w:val="nil"/>
            </w:tcBorders>
            <w:shd w:val="clear" w:color="auto" w:fill="auto"/>
            <w:noWrap/>
            <w:vAlign w:val="bottom"/>
          </w:tcPr>
          <w:p w14:paraId="011170E7"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26.16%</w:t>
            </w:r>
          </w:p>
        </w:tc>
      </w:tr>
      <w:tr w:rsidR="004931F2" w:rsidRPr="00B6104B" w14:paraId="43714082"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4703F941"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2007</w:t>
            </w:r>
          </w:p>
        </w:tc>
        <w:tc>
          <w:tcPr>
            <w:tcW w:w="2089" w:type="dxa"/>
            <w:tcBorders>
              <w:top w:val="nil"/>
              <w:left w:val="nil"/>
              <w:bottom w:val="nil"/>
              <w:right w:val="nil"/>
            </w:tcBorders>
            <w:shd w:val="clear" w:color="auto" w:fill="auto"/>
            <w:noWrap/>
            <w:vAlign w:val="bottom"/>
          </w:tcPr>
          <w:p w14:paraId="7E7E0658"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672</w:t>
            </w:r>
          </w:p>
        </w:tc>
        <w:tc>
          <w:tcPr>
            <w:tcW w:w="2089" w:type="dxa"/>
            <w:tcBorders>
              <w:top w:val="nil"/>
              <w:left w:val="nil"/>
              <w:bottom w:val="nil"/>
              <w:right w:val="nil"/>
            </w:tcBorders>
            <w:shd w:val="clear" w:color="auto" w:fill="auto"/>
            <w:noWrap/>
            <w:vAlign w:val="bottom"/>
          </w:tcPr>
          <w:p w14:paraId="43C64A51" w14:textId="727D30A6"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5.</w:t>
            </w:r>
            <w:r>
              <w:rPr>
                <w:rFonts w:ascii="Times New Roman" w:hAnsi="Times New Roman" w:cs="Times New Roman"/>
                <w:color w:val="000000"/>
                <w:sz w:val="20"/>
                <w:szCs w:val="20"/>
              </w:rPr>
              <w:t>71</w:t>
            </w:r>
          </w:p>
        </w:tc>
        <w:tc>
          <w:tcPr>
            <w:tcW w:w="2089" w:type="dxa"/>
            <w:tcBorders>
              <w:top w:val="nil"/>
              <w:left w:val="nil"/>
              <w:bottom w:val="nil"/>
              <w:right w:val="nil"/>
            </w:tcBorders>
            <w:shd w:val="clear" w:color="auto" w:fill="auto"/>
            <w:noWrap/>
            <w:vAlign w:val="bottom"/>
          </w:tcPr>
          <w:p w14:paraId="291DD214"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209</w:t>
            </w:r>
          </w:p>
        </w:tc>
        <w:tc>
          <w:tcPr>
            <w:tcW w:w="2089" w:type="dxa"/>
            <w:tcBorders>
              <w:top w:val="nil"/>
              <w:left w:val="nil"/>
              <w:bottom w:val="nil"/>
              <w:right w:val="nil"/>
            </w:tcBorders>
            <w:shd w:val="clear" w:color="auto" w:fill="auto"/>
            <w:noWrap/>
            <w:vAlign w:val="bottom"/>
          </w:tcPr>
          <w:p w14:paraId="78111C22"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45.14%</w:t>
            </w:r>
          </w:p>
        </w:tc>
      </w:tr>
      <w:tr w:rsidR="004931F2" w:rsidRPr="00B6104B" w14:paraId="6161D4AD"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6AC49450"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2008</w:t>
            </w:r>
          </w:p>
        </w:tc>
        <w:tc>
          <w:tcPr>
            <w:tcW w:w="2089" w:type="dxa"/>
            <w:tcBorders>
              <w:top w:val="nil"/>
              <w:left w:val="nil"/>
              <w:bottom w:val="nil"/>
              <w:right w:val="nil"/>
            </w:tcBorders>
            <w:shd w:val="clear" w:color="auto" w:fill="auto"/>
            <w:noWrap/>
            <w:vAlign w:val="bottom"/>
          </w:tcPr>
          <w:p w14:paraId="127AC025"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501</w:t>
            </w:r>
          </w:p>
        </w:tc>
        <w:tc>
          <w:tcPr>
            <w:tcW w:w="2089" w:type="dxa"/>
            <w:tcBorders>
              <w:top w:val="nil"/>
              <w:left w:val="nil"/>
              <w:bottom w:val="nil"/>
              <w:right w:val="nil"/>
            </w:tcBorders>
            <w:shd w:val="clear" w:color="auto" w:fill="auto"/>
            <w:noWrap/>
            <w:vAlign w:val="bottom"/>
          </w:tcPr>
          <w:p w14:paraId="0A2A0152" w14:textId="47C05096"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4.26</w:t>
            </w:r>
          </w:p>
        </w:tc>
        <w:tc>
          <w:tcPr>
            <w:tcW w:w="2089" w:type="dxa"/>
            <w:tcBorders>
              <w:top w:val="nil"/>
              <w:left w:val="nil"/>
              <w:bottom w:val="nil"/>
              <w:right w:val="nil"/>
            </w:tcBorders>
            <w:shd w:val="clear" w:color="auto" w:fill="auto"/>
            <w:noWrap/>
            <w:vAlign w:val="bottom"/>
          </w:tcPr>
          <w:p w14:paraId="08814AE9"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-171</w:t>
            </w:r>
          </w:p>
        </w:tc>
        <w:tc>
          <w:tcPr>
            <w:tcW w:w="2089" w:type="dxa"/>
            <w:tcBorders>
              <w:top w:val="nil"/>
              <w:left w:val="nil"/>
              <w:bottom w:val="nil"/>
              <w:right w:val="nil"/>
            </w:tcBorders>
            <w:shd w:val="clear" w:color="auto" w:fill="auto"/>
            <w:noWrap/>
            <w:vAlign w:val="bottom"/>
          </w:tcPr>
          <w:p w14:paraId="63236EE3"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-25.45%</w:t>
            </w:r>
          </w:p>
        </w:tc>
      </w:tr>
      <w:tr w:rsidR="004931F2" w:rsidRPr="00B6104B" w14:paraId="2604F2EB"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0128E55E"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2009</w:t>
            </w:r>
          </w:p>
        </w:tc>
        <w:tc>
          <w:tcPr>
            <w:tcW w:w="2089" w:type="dxa"/>
            <w:tcBorders>
              <w:top w:val="nil"/>
              <w:left w:val="nil"/>
              <w:bottom w:val="nil"/>
              <w:right w:val="nil"/>
            </w:tcBorders>
            <w:shd w:val="clear" w:color="auto" w:fill="auto"/>
            <w:noWrap/>
            <w:vAlign w:val="bottom"/>
          </w:tcPr>
          <w:p w14:paraId="18F3E592"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983</w:t>
            </w:r>
          </w:p>
        </w:tc>
        <w:tc>
          <w:tcPr>
            <w:tcW w:w="2089" w:type="dxa"/>
            <w:tcBorders>
              <w:top w:val="nil"/>
              <w:left w:val="nil"/>
              <w:bottom w:val="nil"/>
              <w:right w:val="nil"/>
            </w:tcBorders>
            <w:shd w:val="clear" w:color="auto" w:fill="auto"/>
            <w:noWrap/>
            <w:vAlign w:val="bottom"/>
          </w:tcPr>
          <w:p w14:paraId="5FBAE223" w14:textId="37E053D9"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8.36</w:t>
            </w:r>
          </w:p>
        </w:tc>
        <w:tc>
          <w:tcPr>
            <w:tcW w:w="2089" w:type="dxa"/>
            <w:tcBorders>
              <w:top w:val="nil"/>
              <w:left w:val="nil"/>
              <w:bottom w:val="nil"/>
              <w:right w:val="nil"/>
            </w:tcBorders>
            <w:shd w:val="clear" w:color="auto" w:fill="auto"/>
            <w:noWrap/>
            <w:vAlign w:val="bottom"/>
          </w:tcPr>
          <w:p w14:paraId="1F8244BA"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482</w:t>
            </w:r>
          </w:p>
        </w:tc>
        <w:tc>
          <w:tcPr>
            <w:tcW w:w="2089" w:type="dxa"/>
            <w:tcBorders>
              <w:top w:val="nil"/>
              <w:left w:val="nil"/>
              <w:bottom w:val="nil"/>
              <w:right w:val="nil"/>
            </w:tcBorders>
            <w:shd w:val="clear" w:color="auto" w:fill="auto"/>
            <w:noWrap/>
            <w:vAlign w:val="bottom"/>
          </w:tcPr>
          <w:p w14:paraId="639353DB"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96.21%</w:t>
            </w:r>
          </w:p>
        </w:tc>
      </w:tr>
      <w:tr w:rsidR="004931F2" w:rsidRPr="00B6104B" w14:paraId="0D6A373F"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26E7EC9A"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2010</w:t>
            </w:r>
          </w:p>
        </w:tc>
        <w:tc>
          <w:tcPr>
            <w:tcW w:w="2089" w:type="dxa"/>
            <w:tcBorders>
              <w:top w:val="nil"/>
              <w:left w:val="nil"/>
              <w:bottom w:val="nil"/>
              <w:right w:val="nil"/>
            </w:tcBorders>
            <w:shd w:val="clear" w:color="auto" w:fill="auto"/>
            <w:noWrap/>
            <w:vAlign w:val="bottom"/>
          </w:tcPr>
          <w:p w14:paraId="2A6C9182"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1,034</w:t>
            </w:r>
          </w:p>
        </w:tc>
        <w:tc>
          <w:tcPr>
            <w:tcW w:w="2089" w:type="dxa"/>
            <w:tcBorders>
              <w:top w:val="nil"/>
              <w:left w:val="nil"/>
              <w:bottom w:val="nil"/>
              <w:right w:val="nil"/>
            </w:tcBorders>
            <w:shd w:val="clear" w:color="auto" w:fill="auto"/>
            <w:noWrap/>
            <w:vAlign w:val="bottom"/>
          </w:tcPr>
          <w:p w14:paraId="2216FF98" w14:textId="33FD7F01"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8.79</w:t>
            </w:r>
          </w:p>
        </w:tc>
        <w:tc>
          <w:tcPr>
            <w:tcW w:w="2089" w:type="dxa"/>
            <w:tcBorders>
              <w:top w:val="nil"/>
              <w:left w:val="nil"/>
              <w:bottom w:val="nil"/>
              <w:right w:val="nil"/>
            </w:tcBorders>
            <w:shd w:val="clear" w:color="auto" w:fill="auto"/>
            <w:noWrap/>
            <w:vAlign w:val="bottom"/>
          </w:tcPr>
          <w:p w14:paraId="67583C1D"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51</w:t>
            </w:r>
          </w:p>
        </w:tc>
        <w:tc>
          <w:tcPr>
            <w:tcW w:w="2089" w:type="dxa"/>
            <w:tcBorders>
              <w:top w:val="nil"/>
              <w:left w:val="nil"/>
              <w:bottom w:val="nil"/>
              <w:right w:val="nil"/>
            </w:tcBorders>
            <w:shd w:val="clear" w:color="auto" w:fill="auto"/>
            <w:noWrap/>
            <w:vAlign w:val="bottom"/>
          </w:tcPr>
          <w:p w14:paraId="3F0712D4"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5.19%</w:t>
            </w:r>
          </w:p>
        </w:tc>
      </w:tr>
      <w:tr w:rsidR="004931F2" w:rsidRPr="00B6104B" w14:paraId="49BCF329"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3ED61266"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2011</w:t>
            </w:r>
          </w:p>
        </w:tc>
        <w:tc>
          <w:tcPr>
            <w:tcW w:w="2089" w:type="dxa"/>
            <w:tcBorders>
              <w:top w:val="nil"/>
              <w:left w:val="nil"/>
              <w:bottom w:val="nil"/>
              <w:right w:val="nil"/>
            </w:tcBorders>
            <w:shd w:val="clear" w:color="auto" w:fill="auto"/>
            <w:noWrap/>
            <w:vAlign w:val="bottom"/>
          </w:tcPr>
          <w:p w14:paraId="358CBAD5"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1,052</w:t>
            </w:r>
          </w:p>
        </w:tc>
        <w:tc>
          <w:tcPr>
            <w:tcW w:w="2089" w:type="dxa"/>
            <w:tcBorders>
              <w:top w:val="nil"/>
              <w:left w:val="nil"/>
              <w:bottom w:val="nil"/>
              <w:right w:val="nil"/>
            </w:tcBorders>
            <w:shd w:val="clear" w:color="auto" w:fill="auto"/>
            <w:noWrap/>
            <w:vAlign w:val="bottom"/>
          </w:tcPr>
          <w:p w14:paraId="72E846CE" w14:textId="1EFE14AB"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8.</w:t>
            </w:r>
            <w:r>
              <w:rPr>
                <w:rFonts w:ascii="Times New Roman" w:hAnsi="Times New Roman" w:cs="Times New Roman"/>
                <w:color w:val="000000"/>
                <w:sz w:val="20"/>
                <w:szCs w:val="20"/>
              </w:rPr>
              <w:t>94</w:t>
            </w:r>
          </w:p>
        </w:tc>
        <w:tc>
          <w:tcPr>
            <w:tcW w:w="2089" w:type="dxa"/>
            <w:tcBorders>
              <w:top w:val="nil"/>
              <w:left w:val="nil"/>
              <w:bottom w:val="nil"/>
              <w:right w:val="nil"/>
            </w:tcBorders>
            <w:shd w:val="clear" w:color="auto" w:fill="auto"/>
            <w:noWrap/>
            <w:vAlign w:val="bottom"/>
          </w:tcPr>
          <w:p w14:paraId="53F14D56"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18</w:t>
            </w:r>
          </w:p>
        </w:tc>
        <w:tc>
          <w:tcPr>
            <w:tcW w:w="2089" w:type="dxa"/>
            <w:tcBorders>
              <w:top w:val="nil"/>
              <w:left w:val="nil"/>
              <w:bottom w:val="nil"/>
              <w:right w:val="nil"/>
            </w:tcBorders>
            <w:shd w:val="clear" w:color="auto" w:fill="auto"/>
            <w:noWrap/>
            <w:vAlign w:val="bottom"/>
          </w:tcPr>
          <w:p w14:paraId="6B30C9DC"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1.74%</w:t>
            </w:r>
          </w:p>
        </w:tc>
      </w:tr>
      <w:tr w:rsidR="004931F2" w:rsidRPr="00B6104B" w14:paraId="02757BF1"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70C937A5"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2012</w:t>
            </w:r>
          </w:p>
        </w:tc>
        <w:tc>
          <w:tcPr>
            <w:tcW w:w="2089" w:type="dxa"/>
            <w:tcBorders>
              <w:top w:val="nil"/>
              <w:left w:val="nil"/>
              <w:bottom w:val="nil"/>
              <w:right w:val="nil"/>
            </w:tcBorders>
            <w:shd w:val="clear" w:color="auto" w:fill="auto"/>
            <w:noWrap/>
            <w:vAlign w:val="bottom"/>
          </w:tcPr>
          <w:p w14:paraId="7268A747"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935</w:t>
            </w:r>
          </w:p>
        </w:tc>
        <w:tc>
          <w:tcPr>
            <w:tcW w:w="2089" w:type="dxa"/>
            <w:tcBorders>
              <w:top w:val="nil"/>
              <w:left w:val="nil"/>
              <w:bottom w:val="nil"/>
              <w:right w:val="nil"/>
            </w:tcBorders>
            <w:shd w:val="clear" w:color="auto" w:fill="auto"/>
            <w:noWrap/>
            <w:vAlign w:val="bottom"/>
          </w:tcPr>
          <w:p w14:paraId="33E65631" w14:textId="146BACA8"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7.</w:t>
            </w:r>
            <w:r>
              <w:rPr>
                <w:rFonts w:ascii="Times New Roman" w:hAnsi="Times New Roman" w:cs="Times New Roman"/>
                <w:color w:val="000000"/>
                <w:sz w:val="20"/>
                <w:szCs w:val="20"/>
              </w:rPr>
              <w:t>95</w:t>
            </w:r>
          </w:p>
        </w:tc>
        <w:tc>
          <w:tcPr>
            <w:tcW w:w="2089" w:type="dxa"/>
            <w:tcBorders>
              <w:top w:val="nil"/>
              <w:left w:val="nil"/>
              <w:bottom w:val="nil"/>
              <w:right w:val="nil"/>
            </w:tcBorders>
            <w:shd w:val="clear" w:color="auto" w:fill="auto"/>
            <w:noWrap/>
            <w:vAlign w:val="bottom"/>
          </w:tcPr>
          <w:p w14:paraId="268551F8"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-117</w:t>
            </w:r>
          </w:p>
        </w:tc>
        <w:tc>
          <w:tcPr>
            <w:tcW w:w="2089" w:type="dxa"/>
            <w:tcBorders>
              <w:top w:val="nil"/>
              <w:left w:val="nil"/>
              <w:bottom w:val="nil"/>
              <w:right w:val="nil"/>
            </w:tcBorders>
            <w:shd w:val="clear" w:color="auto" w:fill="auto"/>
            <w:noWrap/>
            <w:vAlign w:val="bottom"/>
          </w:tcPr>
          <w:p w14:paraId="63A66B76"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-11.12%</w:t>
            </w:r>
          </w:p>
        </w:tc>
      </w:tr>
      <w:tr w:rsidR="004931F2" w:rsidRPr="00B6104B" w14:paraId="2EFD10E0"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70207981"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2013</w:t>
            </w:r>
          </w:p>
        </w:tc>
        <w:tc>
          <w:tcPr>
            <w:tcW w:w="2089" w:type="dxa"/>
            <w:tcBorders>
              <w:top w:val="nil"/>
              <w:left w:val="nil"/>
              <w:bottom w:val="nil"/>
              <w:right w:val="nil"/>
            </w:tcBorders>
            <w:shd w:val="clear" w:color="auto" w:fill="auto"/>
            <w:noWrap/>
            <w:vAlign w:val="bottom"/>
          </w:tcPr>
          <w:p w14:paraId="28E24978"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1,042</w:t>
            </w:r>
          </w:p>
        </w:tc>
        <w:tc>
          <w:tcPr>
            <w:tcW w:w="2089" w:type="dxa"/>
            <w:tcBorders>
              <w:top w:val="nil"/>
              <w:left w:val="nil"/>
              <w:bottom w:val="nil"/>
              <w:right w:val="nil"/>
            </w:tcBorders>
            <w:shd w:val="clear" w:color="auto" w:fill="auto"/>
            <w:noWrap/>
            <w:vAlign w:val="bottom"/>
          </w:tcPr>
          <w:p w14:paraId="0C2957E4" w14:textId="01CB55EB"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8.86</w:t>
            </w:r>
          </w:p>
        </w:tc>
        <w:tc>
          <w:tcPr>
            <w:tcW w:w="2089" w:type="dxa"/>
            <w:tcBorders>
              <w:top w:val="nil"/>
              <w:left w:val="nil"/>
              <w:bottom w:val="nil"/>
              <w:right w:val="nil"/>
            </w:tcBorders>
            <w:shd w:val="clear" w:color="auto" w:fill="auto"/>
            <w:noWrap/>
            <w:vAlign w:val="bottom"/>
          </w:tcPr>
          <w:p w14:paraId="291D6A65"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107</w:t>
            </w:r>
          </w:p>
        </w:tc>
        <w:tc>
          <w:tcPr>
            <w:tcW w:w="2089" w:type="dxa"/>
            <w:tcBorders>
              <w:top w:val="nil"/>
              <w:left w:val="nil"/>
              <w:bottom w:val="nil"/>
              <w:right w:val="nil"/>
            </w:tcBorders>
            <w:shd w:val="clear" w:color="auto" w:fill="auto"/>
            <w:noWrap/>
            <w:vAlign w:val="bottom"/>
          </w:tcPr>
          <w:p w14:paraId="688770BE"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11.44%</w:t>
            </w:r>
          </w:p>
        </w:tc>
      </w:tr>
      <w:tr w:rsidR="004931F2" w:rsidRPr="00B6104B" w14:paraId="55D53CB6"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3D7D31C6"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2014</w:t>
            </w:r>
          </w:p>
        </w:tc>
        <w:tc>
          <w:tcPr>
            <w:tcW w:w="2089" w:type="dxa"/>
            <w:tcBorders>
              <w:top w:val="nil"/>
              <w:left w:val="nil"/>
              <w:bottom w:val="nil"/>
              <w:right w:val="nil"/>
            </w:tcBorders>
            <w:shd w:val="clear" w:color="auto" w:fill="auto"/>
            <w:noWrap/>
            <w:vAlign w:val="bottom"/>
          </w:tcPr>
          <w:p w14:paraId="06EB4EF4"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1,133</w:t>
            </w:r>
          </w:p>
        </w:tc>
        <w:tc>
          <w:tcPr>
            <w:tcW w:w="2089" w:type="dxa"/>
            <w:tcBorders>
              <w:top w:val="nil"/>
              <w:left w:val="nil"/>
              <w:bottom w:val="nil"/>
              <w:right w:val="nil"/>
            </w:tcBorders>
            <w:shd w:val="clear" w:color="auto" w:fill="auto"/>
            <w:noWrap/>
            <w:vAlign w:val="bottom"/>
          </w:tcPr>
          <w:p w14:paraId="0C4087D6" w14:textId="70ABC44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9.63</w:t>
            </w:r>
          </w:p>
        </w:tc>
        <w:tc>
          <w:tcPr>
            <w:tcW w:w="2089" w:type="dxa"/>
            <w:tcBorders>
              <w:top w:val="nil"/>
              <w:left w:val="nil"/>
              <w:bottom w:val="nil"/>
              <w:right w:val="nil"/>
            </w:tcBorders>
            <w:shd w:val="clear" w:color="auto" w:fill="auto"/>
            <w:noWrap/>
            <w:vAlign w:val="bottom"/>
          </w:tcPr>
          <w:p w14:paraId="22A7E221"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91</w:t>
            </w:r>
          </w:p>
        </w:tc>
        <w:tc>
          <w:tcPr>
            <w:tcW w:w="2089" w:type="dxa"/>
            <w:tcBorders>
              <w:top w:val="nil"/>
              <w:left w:val="nil"/>
              <w:bottom w:val="nil"/>
              <w:right w:val="nil"/>
            </w:tcBorders>
            <w:shd w:val="clear" w:color="auto" w:fill="auto"/>
            <w:noWrap/>
            <w:vAlign w:val="bottom"/>
          </w:tcPr>
          <w:p w14:paraId="1D9AC71C"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8.73%</w:t>
            </w:r>
          </w:p>
        </w:tc>
      </w:tr>
      <w:tr w:rsidR="004931F2" w:rsidRPr="00B6104B" w14:paraId="45813E0D"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7086ED27"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2015</w:t>
            </w:r>
          </w:p>
        </w:tc>
        <w:tc>
          <w:tcPr>
            <w:tcW w:w="2089" w:type="dxa"/>
            <w:tcBorders>
              <w:top w:val="nil"/>
              <w:left w:val="nil"/>
              <w:bottom w:val="nil"/>
              <w:right w:val="nil"/>
            </w:tcBorders>
            <w:shd w:val="clear" w:color="auto" w:fill="auto"/>
            <w:noWrap/>
            <w:vAlign w:val="bottom"/>
          </w:tcPr>
          <w:p w14:paraId="0344E59C"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1,172</w:t>
            </w:r>
          </w:p>
        </w:tc>
        <w:tc>
          <w:tcPr>
            <w:tcW w:w="2089" w:type="dxa"/>
            <w:tcBorders>
              <w:top w:val="nil"/>
              <w:left w:val="nil"/>
              <w:bottom w:val="nil"/>
              <w:right w:val="nil"/>
            </w:tcBorders>
            <w:shd w:val="clear" w:color="auto" w:fill="auto"/>
            <w:noWrap/>
            <w:vAlign w:val="bottom"/>
          </w:tcPr>
          <w:p w14:paraId="05294FA4" w14:textId="0895C292"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9.96</w:t>
            </w:r>
          </w:p>
        </w:tc>
        <w:tc>
          <w:tcPr>
            <w:tcW w:w="2089" w:type="dxa"/>
            <w:tcBorders>
              <w:top w:val="nil"/>
              <w:left w:val="nil"/>
              <w:bottom w:val="nil"/>
              <w:right w:val="nil"/>
            </w:tcBorders>
            <w:shd w:val="clear" w:color="auto" w:fill="auto"/>
            <w:noWrap/>
            <w:vAlign w:val="bottom"/>
          </w:tcPr>
          <w:p w14:paraId="1CE10260"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39</w:t>
            </w:r>
          </w:p>
        </w:tc>
        <w:tc>
          <w:tcPr>
            <w:tcW w:w="2089" w:type="dxa"/>
            <w:tcBorders>
              <w:top w:val="nil"/>
              <w:left w:val="nil"/>
              <w:bottom w:val="nil"/>
              <w:right w:val="nil"/>
            </w:tcBorders>
            <w:shd w:val="clear" w:color="auto" w:fill="auto"/>
            <w:noWrap/>
            <w:vAlign w:val="bottom"/>
          </w:tcPr>
          <w:p w14:paraId="7F24E565"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3.44%</w:t>
            </w:r>
          </w:p>
        </w:tc>
      </w:tr>
      <w:tr w:rsidR="004931F2" w:rsidRPr="00B6104B" w14:paraId="19A99E0A" w14:textId="77777777" w:rsidTr="00030140">
        <w:trPr>
          <w:trHeight w:val="255"/>
          <w:jc w:val="center"/>
        </w:trPr>
        <w:tc>
          <w:tcPr>
            <w:tcW w:w="670" w:type="dxa"/>
            <w:tcBorders>
              <w:top w:val="nil"/>
              <w:left w:val="nil"/>
              <w:bottom w:val="nil"/>
              <w:right w:val="nil"/>
            </w:tcBorders>
            <w:shd w:val="clear" w:color="auto" w:fill="auto"/>
            <w:noWrap/>
            <w:vAlign w:val="center"/>
            <w:hideMark/>
          </w:tcPr>
          <w:p w14:paraId="0A365F9A"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2016</w:t>
            </w:r>
          </w:p>
        </w:tc>
        <w:tc>
          <w:tcPr>
            <w:tcW w:w="2089" w:type="dxa"/>
            <w:tcBorders>
              <w:top w:val="nil"/>
              <w:left w:val="nil"/>
              <w:bottom w:val="nil"/>
              <w:right w:val="nil"/>
            </w:tcBorders>
            <w:shd w:val="clear" w:color="auto" w:fill="auto"/>
            <w:noWrap/>
            <w:vAlign w:val="bottom"/>
          </w:tcPr>
          <w:p w14:paraId="62FE597B"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1,157</w:t>
            </w:r>
          </w:p>
        </w:tc>
        <w:tc>
          <w:tcPr>
            <w:tcW w:w="2089" w:type="dxa"/>
            <w:tcBorders>
              <w:top w:val="nil"/>
              <w:left w:val="nil"/>
              <w:bottom w:val="nil"/>
              <w:right w:val="nil"/>
            </w:tcBorders>
            <w:shd w:val="clear" w:color="auto" w:fill="auto"/>
            <w:noWrap/>
            <w:vAlign w:val="bottom"/>
          </w:tcPr>
          <w:p w14:paraId="52BBA8E9" w14:textId="74561F4C"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9.84</w:t>
            </w:r>
          </w:p>
        </w:tc>
        <w:tc>
          <w:tcPr>
            <w:tcW w:w="2089" w:type="dxa"/>
            <w:tcBorders>
              <w:top w:val="nil"/>
              <w:left w:val="nil"/>
              <w:bottom w:val="nil"/>
              <w:right w:val="nil"/>
            </w:tcBorders>
            <w:shd w:val="clear" w:color="auto" w:fill="auto"/>
            <w:noWrap/>
            <w:vAlign w:val="bottom"/>
          </w:tcPr>
          <w:p w14:paraId="044BDBB3"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-15</w:t>
            </w:r>
          </w:p>
        </w:tc>
        <w:tc>
          <w:tcPr>
            <w:tcW w:w="2089" w:type="dxa"/>
            <w:tcBorders>
              <w:top w:val="nil"/>
              <w:left w:val="nil"/>
              <w:bottom w:val="nil"/>
              <w:right w:val="nil"/>
            </w:tcBorders>
            <w:shd w:val="clear" w:color="auto" w:fill="auto"/>
            <w:noWrap/>
            <w:vAlign w:val="bottom"/>
          </w:tcPr>
          <w:p w14:paraId="6D380877"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-1.28%</w:t>
            </w:r>
          </w:p>
        </w:tc>
      </w:tr>
      <w:tr w:rsidR="004931F2" w:rsidRPr="00B6104B" w14:paraId="0305375F" w14:textId="77777777" w:rsidTr="003A487B">
        <w:trPr>
          <w:trHeight w:val="255"/>
          <w:jc w:val="center"/>
        </w:trPr>
        <w:tc>
          <w:tcPr>
            <w:tcW w:w="670" w:type="dxa"/>
            <w:tcBorders>
              <w:top w:val="nil"/>
              <w:left w:val="nil"/>
              <w:bottom w:val="single" w:sz="4" w:space="0" w:color="auto"/>
              <w:right w:val="nil"/>
            </w:tcBorders>
            <w:shd w:val="clear" w:color="auto" w:fill="auto"/>
            <w:noWrap/>
            <w:vAlign w:val="center"/>
            <w:hideMark/>
          </w:tcPr>
          <w:p w14:paraId="1B20B330"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2017</w:t>
            </w:r>
          </w:p>
        </w:tc>
        <w:tc>
          <w:tcPr>
            <w:tcW w:w="2089" w:type="dxa"/>
            <w:tcBorders>
              <w:top w:val="nil"/>
              <w:left w:val="nil"/>
              <w:bottom w:val="single" w:sz="4" w:space="0" w:color="auto"/>
              <w:right w:val="nil"/>
            </w:tcBorders>
            <w:shd w:val="clear" w:color="auto" w:fill="auto"/>
            <w:noWrap/>
            <w:vAlign w:val="bottom"/>
          </w:tcPr>
          <w:p w14:paraId="5086EBD6"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1,253</w:t>
            </w:r>
          </w:p>
        </w:tc>
        <w:tc>
          <w:tcPr>
            <w:tcW w:w="2089" w:type="dxa"/>
            <w:tcBorders>
              <w:top w:val="nil"/>
              <w:left w:val="nil"/>
              <w:bottom w:val="single" w:sz="4" w:space="0" w:color="auto"/>
              <w:right w:val="nil"/>
            </w:tcBorders>
            <w:shd w:val="clear" w:color="auto" w:fill="auto"/>
            <w:noWrap/>
            <w:vAlign w:val="bottom"/>
          </w:tcPr>
          <w:p w14:paraId="631261CF" w14:textId="26FB92A8"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10.65</w:t>
            </w:r>
          </w:p>
        </w:tc>
        <w:tc>
          <w:tcPr>
            <w:tcW w:w="2089" w:type="dxa"/>
            <w:tcBorders>
              <w:top w:val="nil"/>
              <w:left w:val="nil"/>
              <w:bottom w:val="single" w:sz="4" w:space="0" w:color="auto"/>
              <w:right w:val="nil"/>
            </w:tcBorders>
            <w:shd w:val="clear" w:color="auto" w:fill="auto"/>
            <w:noWrap/>
            <w:vAlign w:val="bottom"/>
          </w:tcPr>
          <w:p w14:paraId="533F1FB5"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96</w:t>
            </w:r>
          </w:p>
        </w:tc>
        <w:tc>
          <w:tcPr>
            <w:tcW w:w="2089" w:type="dxa"/>
            <w:tcBorders>
              <w:top w:val="nil"/>
              <w:left w:val="nil"/>
              <w:bottom w:val="single" w:sz="4" w:space="0" w:color="auto"/>
              <w:right w:val="nil"/>
            </w:tcBorders>
            <w:shd w:val="clear" w:color="auto" w:fill="auto"/>
            <w:noWrap/>
            <w:vAlign w:val="bottom"/>
          </w:tcPr>
          <w:p w14:paraId="37B056F8" w14:textId="77777777" w:rsidR="004931F2" w:rsidRPr="00B6104B" w:rsidRDefault="004931F2" w:rsidP="004931F2">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hAnsi="Times New Roman" w:cs="Times New Roman"/>
                <w:color w:val="000000"/>
                <w:sz w:val="20"/>
                <w:szCs w:val="20"/>
              </w:rPr>
              <w:t>8.30%</w:t>
            </w:r>
          </w:p>
        </w:tc>
      </w:tr>
      <w:tr w:rsidR="005E3506" w:rsidRPr="00B6104B" w14:paraId="1F765143" w14:textId="77777777" w:rsidTr="003A487B">
        <w:trPr>
          <w:trHeight w:val="64"/>
          <w:jc w:val="center"/>
        </w:trPr>
        <w:tc>
          <w:tcPr>
            <w:tcW w:w="670" w:type="dxa"/>
            <w:tcBorders>
              <w:top w:val="single" w:sz="4" w:space="0" w:color="auto"/>
              <w:left w:val="nil"/>
              <w:bottom w:val="single" w:sz="4" w:space="0" w:color="auto"/>
              <w:right w:val="nil"/>
            </w:tcBorders>
            <w:shd w:val="clear" w:color="auto" w:fill="auto"/>
            <w:noWrap/>
            <w:vAlign w:val="center"/>
            <w:hideMark/>
          </w:tcPr>
          <w:p w14:paraId="7A29F1BA"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Total</w:t>
            </w:r>
          </w:p>
        </w:tc>
        <w:tc>
          <w:tcPr>
            <w:tcW w:w="2089" w:type="dxa"/>
            <w:tcBorders>
              <w:top w:val="single" w:sz="4" w:space="0" w:color="auto"/>
              <w:left w:val="nil"/>
              <w:bottom w:val="single" w:sz="4" w:space="0" w:color="auto"/>
              <w:right w:val="nil"/>
            </w:tcBorders>
            <w:shd w:val="clear" w:color="auto" w:fill="auto"/>
            <w:noWrap/>
            <w:vAlign w:val="center"/>
            <w:hideMark/>
          </w:tcPr>
          <w:p w14:paraId="362B71F2" w14:textId="7B796960" w:rsidR="005E3506" w:rsidRPr="00B6104B" w:rsidRDefault="00A2145B"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11,764</w:t>
            </w:r>
          </w:p>
        </w:tc>
        <w:tc>
          <w:tcPr>
            <w:tcW w:w="2089" w:type="dxa"/>
            <w:tcBorders>
              <w:top w:val="single" w:sz="4" w:space="0" w:color="auto"/>
              <w:left w:val="nil"/>
              <w:bottom w:val="single" w:sz="4" w:space="0" w:color="auto"/>
              <w:right w:val="nil"/>
            </w:tcBorders>
            <w:shd w:val="clear" w:color="auto" w:fill="auto"/>
            <w:noWrap/>
            <w:vAlign w:val="center"/>
            <w:hideMark/>
          </w:tcPr>
          <w:p w14:paraId="3BBF27C2"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r w:rsidRPr="00B6104B">
              <w:rPr>
                <w:rFonts w:ascii="Times New Roman" w:eastAsia="Times New Roman" w:hAnsi="Times New Roman" w:cs="Times New Roman"/>
                <w:color w:val="000000"/>
                <w:sz w:val="20"/>
                <w:szCs w:val="20"/>
                <w:lang w:eastAsia="en-NZ"/>
              </w:rPr>
              <w:t>100.00</w:t>
            </w:r>
          </w:p>
        </w:tc>
        <w:tc>
          <w:tcPr>
            <w:tcW w:w="2089" w:type="dxa"/>
            <w:tcBorders>
              <w:top w:val="single" w:sz="4" w:space="0" w:color="auto"/>
              <w:left w:val="nil"/>
              <w:bottom w:val="single" w:sz="4" w:space="0" w:color="auto"/>
              <w:right w:val="nil"/>
            </w:tcBorders>
            <w:shd w:val="clear" w:color="auto" w:fill="auto"/>
            <w:noWrap/>
            <w:vAlign w:val="center"/>
            <w:hideMark/>
          </w:tcPr>
          <w:p w14:paraId="2F6504F6" w14:textId="77777777" w:rsidR="005E3506" w:rsidRPr="00B6104B" w:rsidRDefault="005E3506" w:rsidP="00030140">
            <w:pPr>
              <w:spacing w:after="0" w:line="240" w:lineRule="auto"/>
              <w:jc w:val="center"/>
              <w:rPr>
                <w:rFonts w:ascii="Times New Roman" w:eastAsia="Times New Roman" w:hAnsi="Times New Roman" w:cs="Times New Roman"/>
                <w:color w:val="000000"/>
                <w:sz w:val="20"/>
                <w:szCs w:val="20"/>
                <w:lang w:eastAsia="en-NZ"/>
              </w:rPr>
            </w:pPr>
          </w:p>
        </w:tc>
        <w:tc>
          <w:tcPr>
            <w:tcW w:w="2089" w:type="dxa"/>
            <w:tcBorders>
              <w:top w:val="single" w:sz="4" w:space="0" w:color="auto"/>
              <w:left w:val="nil"/>
              <w:bottom w:val="single" w:sz="4" w:space="0" w:color="auto"/>
              <w:right w:val="nil"/>
            </w:tcBorders>
            <w:shd w:val="clear" w:color="auto" w:fill="auto"/>
            <w:noWrap/>
            <w:vAlign w:val="center"/>
            <w:hideMark/>
          </w:tcPr>
          <w:p w14:paraId="517C0FC8" w14:textId="77777777" w:rsidR="005E3506" w:rsidRPr="00B6104B" w:rsidRDefault="005E3506" w:rsidP="00030140">
            <w:pPr>
              <w:spacing w:after="0" w:line="240" w:lineRule="auto"/>
              <w:jc w:val="right"/>
              <w:rPr>
                <w:rFonts w:ascii="Times New Roman" w:eastAsia="Times New Roman" w:hAnsi="Times New Roman" w:cs="Times New Roman"/>
                <w:color w:val="000000"/>
                <w:sz w:val="20"/>
                <w:szCs w:val="20"/>
                <w:lang w:eastAsia="en-NZ"/>
              </w:rPr>
            </w:pPr>
          </w:p>
        </w:tc>
      </w:tr>
    </w:tbl>
    <w:p w14:paraId="19183682" w14:textId="7791C9EA" w:rsidR="005E3506" w:rsidRPr="001578CB" w:rsidRDefault="00241CAD" w:rsidP="005E3506">
      <w:pPr>
        <w:spacing w:after="0" w:line="240" w:lineRule="auto"/>
        <w:jc w:val="both"/>
        <w:rPr>
          <w:rFonts w:ascii="Times New Roman" w:eastAsia="Times New Roman" w:hAnsi="Times New Roman" w:cs="Times New Roman"/>
          <w:color w:val="000000"/>
          <w:sz w:val="20"/>
          <w:szCs w:val="20"/>
          <w:lang w:eastAsia="en-NZ"/>
        </w:rPr>
      </w:pPr>
      <w:r w:rsidRPr="005436B9">
        <w:rPr>
          <w:rFonts w:ascii="Times New Roman" w:eastAsia="Times New Roman" w:hAnsi="Times New Roman" w:cs="Times New Roman"/>
          <w:color w:val="000000"/>
          <w:sz w:val="20"/>
          <w:szCs w:val="20"/>
          <w:lang w:eastAsia="en-NZ"/>
        </w:rPr>
        <w:lastRenderedPageBreak/>
        <w:t>TABLE 4: Descriptive statistics</w:t>
      </w:r>
    </w:p>
    <w:tbl>
      <w:tblPr>
        <w:tblW w:w="9009" w:type="dxa"/>
        <w:tblLook w:val="04A0" w:firstRow="1" w:lastRow="0" w:firstColumn="1" w:lastColumn="0" w:noHBand="0" w:noVBand="1"/>
      </w:tblPr>
      <w:tblGrid>
        <w:gridCol w:w="1542"/>
        <w:gridCol w:w="1136"/>
        <w:gridCol w:w="1173"/>
        <w:gridCol w:w="1374"/>
        <w:gridCol w:w="1328"/>
        <w:gridCol w:w="1423"/>
        <w:gridCol w:w="1033"/>
      </w:tblGrid>
      <w:tr w:rsidR="0065284F" w:rsidRPr="005D5ACE" w14:paraId="4B17A303" w14:textId="77777777" w:rsidTr="00FE2685">
        <w:trPr>
          <w:trHeight w:val="267"/>
        </w:trPr>
        <w:tc>
          <w:tcPr>
            <w:tcW w:w="1542" w:type="dxa"/>
            <w:tcBorders>
              <w:top w:val="single" w:sz="4" w:space="0" w:color="auto"/>
              <w:left w:val="nil"/>
              <w:bottom w:val="single" w:sz="4" w:space="0" w:color="auto"/>
              <w:right w:val="nil"/>
            </w:tcBorders>
            <w:shd w:val="clear" w:color="auto" w:fill="auto"/>
            <w:noWrap/>
            <w:vAlign w:val="bottom"/>
          </w:tcPr>
          <w:p w14:paraId="1C09CE59" w14:textId="6D15281A" w:rsidR="008C75C3" w:rsidRPr="005D5ACE" w:rsidRDefault="008C75C3" w:rsidP="008C75C3">
            <w:pPr>
              <w:spacing w:after="0" w:line="240" w:lineRule="auto"/>
              <w:rPr>
                <w:rFonts w:ascii="Times New Roman" w:eastAsia="Times New Roman" w:hAnsi="Times New Roman" w:cs="Times New Roman"/>
                <w:color w:val="000000"/>
                <w:sz w:val="20"/>
                <w:szCs w:val="20"/>
                <w:lang w:eastAsia="en-NZ"/>
              </w:rPr>
            </w:pPr>
            <w:r w:rsidRPr="005D5ACE">
              <w:rPr>
                <w:rFonts w:ascii="Times New Roman" w:eastAsia="Times New Roman" w:hAnsi="Times New Roman" w:cs="Times New Roman"/>
                <w:color w:val="000000"/>
                <w:sz w:val="20"/>
                <w:szCs w:val="20"/>
                <w:lang w:eastAsia="en-NZ"/>
              </w:rPr>
              <w:t>Variable</w:t>
            </w:r>
          </w:p>
        </w:tc>
        <w:tc>
          <w:tcPr>
            <w:tcW w:w="1136" w:type="dxa"/>
            <w:tcBorders>
              <w:top w:val="single" w:sz="4" w:space="0" w:color="auto"/>
              <w:left w:val="nil"/>
              <w:bottom w:val="single" w:sz="4" w:space="0" w:color="auto"/>
              <w:right w:val="nil"/>
            </w:tcBorders>
            <w:shd w:val="clear" w:color="auto" w:fill="auto"/>
            <w:noWrap/>
            <w:vAlign w:val="bottom"/>
          </w:tcPr>
          <w:p w14:paraId="3F3DFCBB" w14:textId="5FB06135" w:rsidR="008C75C3" w:rsidRPr="005D5ACE" w:rsidRDefault="008C75C3" w:rsidP="008C75C3">
            <w:pPr>
              <w:spacing w:after="0" w:line="240" w:lineRule="auto"/>
              <w:jc w:val="right"/>
              <w:rPr>
                <w:rFonts w:ascii="Times New Roman" w:eastAsia="Times New Roman" w:hAnsi="Times New Roman" w:cs="Times New Roman"/>
                <w:color w:val="000000"/>
                <w:sz w:val="20"/>
                <w:szCs w:val="20"/>
                <w:lang w:eastAsia="en-NZ"/>
              </w:rPr>
            </w:pPr>
            <w:r w:rsidRPr="005D5ACE">
              <w:rPr>
                <w:rFonts w:ascii="Times New Roman" w:eastAsia="Times New Roman" w:hAnsi="Times New Roman" w:cs="Times New Roman"/>
                <w:color w:val="000000"/>
                <w:sz w:val="20"/>
                <w:szCs w:val="20"/>
                <w:lang w:eastAsia="en-NZ"/>
              </w:rPr>
              <w:t>N</w:t>
            </w:r>
          </w:p>
        </w:tc>
        <w:tc>
          <w:tcPr>
            <w:tcW w:w="1173" w:type="dxa"/>
            <w:tcBorders>
              <w:top w:val="single" w:sz="4" w:space="0" w:color="auto"/>
              <w:left w:val="nil"/>
              <w:bottom w:val="single" w:sz="4" w:space="0" w:color="auto"/>
              <w:right w:val="nil"/>
            </w:tcBorders>
            <w:shd w:val="clear" w:color="auto" w:fill="auto"/>
            <w:noWrap/>
            <w:vAlign w:val="bottom"/>
          </w:tcPr>
          <w:p w14:paraId="481567F3" w14:textId="0C8E2086" w:rsidR="008C75C3" w:rsidRPr="005D5ACE" w:rsidRDefault="008C75C3" w:rsidP="008C75C3">
            <w:pPr>
              <w:spacing w:after="0" w:line="240" w:lineRule="auto"/>
              <w:jc w:val="right"/>
              <w:rPr>
                <w:rFonts w:ascii="Times New Roman" w:eastAsia="Times New Roman" w:hAnsi="Times New Roman" w:cs="Times New Roman"/>
                <w:color w:val="000000"/>
                <w:sz w:val="20"/>
                <w:szCs w:val="20"/>
                <w:lang w:eastAsia="en-NZ"/>
              </w:rPr>
            </w:pPr>
            <w:r w:rsidRPr="005D5ACE">
              <w:rPr>
                <w:rFonts w:ascii="Times New Roman" w:eastAsia="Times New Roman" w:hAnsi="Times New Roman" w:cs="Times New Roman"/>
                <w:color w:val="000000"/>
                <w:sz w:val="20"/>
                <w:szCs w:val="20"/>
                <w:lang w:eastAsia="en-NZ"/>
              </w:rPr>
              <w:t>Mean</w:t>
            </w:r>
          </w:p>
        </w:tc>
        <w:tc>
          <w:tcPr>
            <w:tcW w:w="1374" w:type="dxa"/>
            <w:tcBorders>
              <w:top w:val="single" w:sz="4" w:space="0" w:color="auto"/>
              <w:left w:val="nil"/>
              <w:bottom w:val="single" w:sz="4" w:space="0" w:color="auto"/>
              <w:right w:val="nil"/>
            </w:tcBorders>
            <w:shd w:val="clear" w:color="auto" w:fill="auto"/>
            <w:noWrap/>
            <w:vAlign w:val="bottom"/>
          </w:tcPr>
          <w:p w14:paraId="7841C332" w14:textId="647DABF9" w:rsidR="008C75C3" w:rsidRPr="005D5ACE" w:rsidRDefault="008C75C3" w:rsidP="008C75C3">
            <w:pPr>
              <w:spacing w:after="0" w:line="240" w:lineRule="auto"/>
              <w:jc w:val="right"/>
              <w:rPr>
                <w:rFonts w:ascii="Times New Roman" w:eastAsia="Times New Roman" w:hAnsi="Times New Roman" w:cs="Times New Roman"/>
                <w:color w:val="000000"/>
                <w:sz w:val="20"/>
                <w:szCs w:val="20"/>
                <w:lang w:eastAsia="en-NZ"/>
              </w:rPr>
            </w:pPr>
            <w:r w:rsidRPr="005D5ACE">
              <w:rPr>
                <w:rFonts w:ascii="Times New Roman" w:eastAsia="Times New Roman" w:hAnsi="Times New Roman" w:cs="Times New Roman"/>
                <w:color w:val="000000"/>
                <w:sz w:val="20"/>
                <w:szCs w:val="20"/>
                <w:lang w:eastAsia="en-NZ"/>
              </w:rPr>
              <w:t>Std. dev.</w:t>
            </w:r>
          </w:p>
        </w:tc>
        <w:tc>
          <w:tcPr>
            <w:tcW w:w="1328" w:type="dxa"/>
            <w:tcBorders>
              <w:top w:val="single" w:sz="4" w:space="0" w:color="auto"/>
              <w:left w:val="nil"/>
              <w:bottom w:val="single" w:sz="4" w:space="0" w:color="auto"/>
              <w:right w:val="nil"/>
            </w:tcBorders>
            <w:shd w:val="clear" w:color="auto" w:fill="auto"/>
            <w:noWrap/>
            <w:vAlign w:val="bottom"/>
          </w:tcPr>
          <w:p w14:paraId="0DEA40EA" w14:textId="161ED1AB" w:rsidR="008C75C3" w:rsidRPr="005D5ACE" w:rsidRDefault="009031E6" w:rsidP="008C75C3">
            <w:pPr>
              <w:spacing w:after="0" w:line="240" w:lineRule="auto"/>
              <w:jc w:val="right"/>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P25</w:t>
            </w:r>
          </w:p>
        </w:tc>
        <w:tc>
          <w:tcPr>
            <w:tcW w:w="1423" w:type="dxa"/>
            <w:tcBorders>
              <w:top w:val="single" w:sz="4" w:space="0" w:color="auto"/>
              <w:left w:val="nil"/>
              <w:bottom w:val="single" w:sz="4" w:space="0" w:color="auto"/>
              <w:right w:val="nil"/>
            </w:tcBorders>
            <w:shd w:val="clear" w:color="auto" w:fill="auto"/>
            <w:noWrap/>
            <w:vAlign w:val="bottom"/>
          </w:tcPr>
          <w:p w14:paraId="6EC90C46" w14:textId="0BD75556" w:rsidR="008C75C3" w:rsidRPr="005D5ACE" w:rsidRDefault="00A87CC8" w:rsidP="008C75C3">
            <w:pPr>
              <w:spacing w:after="0" w:line="240" w:lineRule="auto"/>
              <w:jc w:val="right"/>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Median</w:t>
            </w:r>
          </w:p>
        </w:tc>
        <w:tc>
          <w:tcPr>
            <w:tcW w:w="1033" w:type="dxa"/>
            <w:tcBorders>
              <w:top w:val="single" w:sz="4" w:space="0" w:color="auto"/>
              <w:left w:val="nil"/>
              <w:bottom w:val="single" w:sz="4" w:space="0" w:color="auto"/>
              <w:right w:val="nil"/>
            </w:tcBorders>
            <w:shd w:val="clear" w:color="auto" w:fill="auto"/>
            <w:noWrap/>
            <w:vAlign w:val="bottom"/>
          </w:tcPr>
          <w:p w14:paraId="31E8CD45" w14:textId="455CD4BC" w:rsidR="008C75C3" w:rsidRPr="005D5ACE" w:rsidRDefault="008C75C3" w:rsidP="008C75C3">
            <w:pPr>
              <w:spacing w:after="0" w:line="240" w:lineRule="auto"/>
              <w:jc w:val="right"/>
              <w:rPr>
                <w:rFonts w:ascii="Times New Roman" w:eastAsia="Times New Roman" w:hAnsi="Times New Roman" w:cs="Times New Roman"/>
                <w:color w:val="000000"/>
                <w:sz w:val="20"/>
                <w:szCs w:val="20"/>
                <w:lang w:eastAsia="en-NZ"/>
              </w:rPr>
            </w:pPr>
            <w:r w:rsidRPr="005D5ACE">
              <w:rPr>
                <w:rFonts w:ascii="Times New Roman" w:eastAsia="Times New Roman" w:hAnsi="Times New Roman" w:cs="Times New Roman"/>
                <w:color w:val="000000"/>
                <w:sz w:val="20"/>
                <w:szCs w:val="20"/>
                <w:lang w:eastAsia="en-NZ"/>
              </w:rPr>
              <w:t>P75</w:t>
            </w:r>
          </w:p>
        </w:tc>
      </w:tr>
      <w:tr w:rsidR="0065284F" w:rsidRPr="005D5ACE" w14:paraId="4E275D0B" w14:textId="77777777" w:rsidTr="00FE2685">
        <w:trPr>
          <w:trHeight w:val="267"/>
        </w:trPr>
        <w:tc>
          <w:tcPr>
            <w:tcW w:w="1542" w:type="dxa"/>
            <w:tcBorders>
              <w:top w:val="nil"/>
              <w:left w:val="nil"/>
              <w:bottom w:val="nil"/>
              <w:right w:val="nil"/>
            </w:tcBorders>
            <w:shd w:val="clear" w:color="auto" w:fill="auto"/>
            <w:noWrap/>
            <w:vAlign w:val="bottom"/>
            <w:hideMark/>
          </w:tcPr>
          <w:p w14:paraId="1C810A38" w14:textId="1C360E2D" w:rsidR="00FE2685" w:rsidRPr="001578CB" w:rsidRDefault="00B937D3"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SEO</w:t>
            </w:r>
            <w:r w:rsidR="00FE2685" w:rsidRPr="001578CB">
              <w:rPr>
                <w:rFonts w:ascii="Times New Roman" w:eastAsia="Times New Roman" w:hAnsi="Times New Roman" w:cs="Times New Roman"/>
                <w:color w:val="000000"/>
                <w:sz w:val="20"/>
                <w:szCs w:val="20"/>
                <w:lang w:eastAsia="en-NZ"/>
              </w:rPr>
              <w:t>P</w:t>
            </w:r>
          </w:p>
        </w:tc>
        <w:tc>
          <w:tcPr>
            <w:tcW w:w="1136" w:type="dxa"/>
            <w:tcBorders>
              <w:top w:val="nil"/>
              <w:left w:val="nil"/>
              <w:bottom w:val="nil"/>
              <w:right w:val="nil"/>
            </w:tcBorders>
            <w:shd w:val="clear" w:color="auto" w:fill="auto"/>
            <w:noWrap/>
            <w:vAlign w:val="bottom"/>
            <w:hideMark/>
          </w:tcPr>
          <w:p w14:paraId="1D71C523" w14:textId="42116133"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5D5ACE">
              <w:rPr>
                <w:rFonts w:ascii="Times New Roman" w:eastAsia="Times New Roman" w:hAnsi="Times New Roman" w:cs="Times New Roman"/>
                <w:color w:val="000000"/>
                <w:sz w:val="20"/>
                <w:szCs w:val="20"/>
                <w:lang w:eastAsia="en-NZ"/>
              </w:rPr>
              <w:t>1</w:t>
            </w:r>
            <w:r>
              <w:rPr>
                <w:rFonts w:ascii="Times New Roman" w:eastAsia="Times New Roman" w:hAnsi="Times New Roman" w:cs="Times New Roman"/>
                <w:color w:val="000000"/>
                <w:sz w:val="20"/>
                <w:szCs w:val="20"/>
                <w:lang w:eastAsia="en-NZ"/>
              </w:rPr>
              <w:t>1,764</w:t>
            </w:r>
          </w:p>
        </w:tc>
        <w:tc>
          <w:tcPr>
            <w:tcW w:w="1173" w:type="dxa"/>
            <w:tcBorders>
              <w:top w:val="single" w:sz="4" w:space="0" w:color="auto"/>
              <w:left w:val="nil"/>
              <w:bottom w:val="nil"/>
              <w:right w:val="nil"/>
            </w:tcBorders>
            <w:shd w:val="clear" w:color="auto" w:fill="auto"/>
            <w:noWrap/>
            <w:vAlign w:val="bottom"/>
            <w:hideMark/>
          </w:tcPr>
          <w:p w14:paraId="30A48B6F" w14:textId="3DA37C9A" w:rsidR="00FE2685" w:rsidRPr="00FE2685" w:rsidRDefault="0066445D"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w:t>
            </w:r>
            <w:r w:rsidR="00FE2685" w:rsidRPr="00FE2685">
              <w:rPr>
                <w:rFonts w:ascii="Times New Roman" w:hAnsi="Times New Roman" w:cs="Times New Roman"/>
                <w:color w:val="000000"/>
                <w:sz w:val="20"/>
                <w:szCs w:val="20"/>
              </w:rPr>
              <w:t>0.012</w:t>
            </w:r>
            <w:r w:rsidR="007C355C">
              <w:rPr>
                <w:rFonts w:ascii="Times New Roman" w:hAnsi="Times New Roman" w:cs="Times New Roman"/>
                <w:color w:val="000000"/>
                <w:sz w:val="20"/>
                <w:szCs w:val="20"/>
              </w:rPr>
              <w:t>0</w:t>
            </w:r>
          </w:p>
        </w:tc>
        <w:tc>
          <w:tcPr>
            <w:tcW w:w="1374" w:type="dxa"/>
            <w:tcBorders>
              <w:top w:val="single" w:sz="4" w:space="0" w:color="auto"/>
              <w:left w:val="nil"/>
              <w:bottom w:val="nil"/>
              <w:right w:val="nil"/>
            </w:tcBorders>
            <w:shd w:val="clear" w:color="auto" w:fill="auto"/>
            <w:noWrap/>
            <w:vAlign w:val="bottom"/>
            <w:hideMark/>
          </w:tcPr>
          <w:p w14:paraId="3385F23F" w14:textId="591CDC34"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0.13</w:t>
            </w:r>
            <w:r w:rsidR="0038422B">
              <w:rPr>
                <w:rFonts w:ascii="Times New Roman" w:hAnsi="Times New Roman" w:cs="Times New Roman"/>
                <w:color w:val="000000"/>
                <w:sz w:val="20"/>
                <w:szCs w:val="20"/>
              </w:rPr>
              <w:t>0</w:t>
            </w:r>
            <w:r w:rsidR="00F72BE6">
              <w:rPr>
                <w:rFonts w:ascii="Times New Roman" w:hAnsi="Times New Roman" w:cs="Times New Roman"/>
                <w:color w:val="000000"/>
                <w:sz w:val="20"/>
                <w:szCs w:val="20"/>
              </w:rPr>
              <w:t>6</w:t>
            </w:r>
          </w:p>
        </w:tc>
        <w:tc>
          <w:tcPr>
            <w:tcW w:w="1328" w:type="dxa"/>
            <w:tcBorders>
              <w:top w:val="single" w:sz="4" w:space="0" w:color="auto"/>
              <w:left w:val="nil"/>
              <w:bottom w:val="nil"/>
              <w:right w:val="nil"/>
            </w:tcBorders>
            <w:shd w:val="clear" w:color="auto" w:fill="auto"/>
            <w:noWrap/>
            <w:vAlign w:val="bottom"/>
            <w:hideMark/>
          </w:tcPr>
          <w:p w14:paraId="34AB3B52" w14:textId="4338A1D0"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-0.01</w:t>
            </w:r>
            <w:r w:rsidR="00F72BE6">
              <w:rPr>
                <w:rFonts w:ascii="Times New Roman" w:hAnsi="Times New Roman" w:cs="Times New Roman"/>
                <w:color w:val="000000"/>
                <w:sz w:val="20"/>
                <w:szCs w:val="20"/>
              </w:rPr>
              <w:t>36</w:t>
            </w:r>
          </w:p>
        </w:tc>
        <w:tc>
          <w:tcPr>
            <w:tcW w:w="1423" w:type="dxa"/>
            <w:tcBorders>
              <w:top w:val="single" w:sz="4" w:space="0" w:color="auto"/>
              <w:left w:val="nil"/>
              <w:bottom w:val="nil"/>
              <w:right w:val="nil"/>
            </w:tcBorders>
            <w:shd w:val="clear" w:color="auto" w:fill="auto"/>
            <w:noWrap/>
            <w:vAlign w:val="bottom"/>
            <w:hideMark/>
          </w:tcPr>
          <w:p w14:paraId="280F89DD" w14:textId="0D5B0F27" w:rsidR="00FE2685" w:rsidRPr="00FE2685" w:rsidRDefault="0066445D"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w:t>
            </w:r>
            <w:r w:rsidR="00FE2685" w:rsidRPr="00FE2685">
              <w:rPr>
                <w:rFonts w:ascii="Times New Roman" w:hAnsi="Times New Roman" w:cs="Times New Roman"/>
                <w:color w:val="000000"/>
                <w:sz w:val="20"/>
                <w:szCs w:val="20"/>
              </w:rPr>
              <w:t>0.031</w:t>
            </w:r>
            <w:r w:rsidR="00F72BE6">
              <w:rPr>
                <w:rFonts w:ascii="Times New Roman" w:hAnsi="Times New Roman" w:cs="Times New Roman"/>
                <w:color w:val="000000"/>
                <w:sz w:val="20"/>
                <w:szCs w:val="20"/>
              </w:rPr>
              <w:t>3</w:t>
            </w:r>
          </w:p>
        </w:tc>
        <w:tc>
          <w:tcPr>
            <w:tcW w:w="1033" w:type="dxa"/>
            <w:tcBorders>
              <w:top w:val="single" w:sz="4" w:space="0" w:color="auto"/>
              <w:left w:val="nil"/>
              <w:bottom w:val="nil"/>
              <w:right w:val="nil"/>
            </w:tcBorders>
            <w:shd w:val="clear" w:color="auto" w:fill="auto"/>
            <w:noWrap/>
            <w:vAlign w:val="bottom"/>
            <w:hideMark/>
          </w:tcPr>
          <w:p w14:paraId="7728AB4A" w14:textId="6EA48A1E" w:rsidR="00FE2685" w:rsidRPr="00FE2685" w:rsidRDefault="00AC6711"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w:t>
            </w:r>
            <w:r w:rsidR="00FE2685" w:rsidRPr="00FE2685">
              <w:rPr>
                <w:rFonts w:ascii="Times New Roman" w:hAnsi="Times New Roman" w:cs="Times New Roman"/>
                <w:color w:val="000000"/>
                <w:sz w:val="20"/>
                <w:szCs w:val="20"/>
              </w:rPr>
              <w:t>0.08</w:t>
            </w:r>
            <w:r w:rsidR="00071BB9">
              <w:rPr>
                <w:rFonts w:ascii="Times New Roman" w:hAnsi="Times New Roman" w:cs="Times New Roman"/>
                <w:color w:val="000000"/>
                <w:sz w:val="20"/>
                <w:szCs w:val="20"/>
              </w:rPr>
              <w:t>1</w:t>
            </w:r>
            <w:r w:rsidR="00F72BE6">
              <w:rPr>
                <w:rFonts w:ascii="Times New Roman" w:hAnsi="Times New Roman" w:cs="Times New Roman"/>
                <w:color w:val="000000"/>
                <w:sz w:val="20"/>
                <w:szCs w:val="20"/>
              </w:rPr>
              <w:t>8</w:t>
            </w:r>
          </w:p>
        </w:tc>
      </w:tr>
      <w:tr w:rsidR="0065284F" w:rsidRPr="005D5ACE" w14:paraId="26C49459" w14:textId="77777777" w:rsidTr="008E3BF3">
        <w:trPr>
          <w:trHeight w:val="267"/>
        </w:trPr>
        <w:tc>
          <w:tcPr>
            <w:tcW w:w="1542" w:type="dxa"/>
            <w:tcBorders>
              <w:top w:val="nil"/>
              <w:left w:val="nil"/>
              <w:bottom w:val="nil"/>
              <w:right w:val="nil"/>
            </w:tcBorders>
            <w:shd w:val="clear" w:color="auto" w:fill="auto"/>
            <w:noWrap/>
            <w:vAlign w:val="bottom"/>
            <w:hideMark/>
          </w:tcPr>
          <w:p w14:paraId="6F94B75E" w14:textId="59B8CEED"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AEM</w:t>
            </w:r>
          </w:p>
        </w:tc>
        <w:tc>
          <w:tcPr>
            <w:tcW w:w="1136" w:type="dxa"/>
            <w:tcBorders>
              <w:top w:val="nil"/>
              <w:left w:val="nil"/>
              <w:bottom w:val="nil"/>
              <w:right w:val="nil"/>
            </w:tcBorders>
            <w:shd w:val="clear" w:color="auto" w:fill="auto"/>
            <w:noWrap/>
            <w:hideMark/>
          </w:tcPr>
          <w:p w14:paraId="374B7F72" w14:textId="52884C7F"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6664FA46" w14:textId="39538DC5"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0.00</w:t>
            </w:r>
            <w:r w:rsidR="001076E0">
              <w:rPr>
                <w:rFonts w:ascii="Times New Roman" w:hAnsi="Times New Roman" w:cs="Times New Roman"/>
                <w:color w:val="000000"/>
                <w:sz w:val="20"/>
                <w:szCs w:val="20"/>
              </w:rPr>
              <w:t>38</w:t>
            </w:r>
          </w:p>
        </w:tc>
        <w:tc>
          <w:tcPr>
            <w:tcW w:w="1374" w:type="dxa"/>
            <w:tcBorders>
              <w:top w:val="nil"/>
              <w:left w:val="nil"/>
              <w:bottom w:val="nil"/>
              <w:right w:val="nil"/>
            </w:tcBorders>
            <w:shd w:val="clear" w:color="auto" w:fill="auto"/>
            <w:noWrap/>
            <w:vAlign w:val="bottom"/>
            <w:hideMark/>
          </w:tcPr>
          <w:p w14:paraId="4AE242AB" w14:textId="5DA07BB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0.137</w:t>
            </w:r>
            <w:r w:rsidR="008875FB">
              <w:rPr>
                <w:rFonts w:ascii="Times New Roman" w:hAnsi="Times New Roman" w:cs="Times New Roman"/>
                <w:color w:val="000000"/>
                <w:sz w:val="20"/>
                <w:szCs w:val="20"/>
              </w:rPr>
              <w:t>1</w:t>
            </w:r>
          </w:p>
        </w:tc>
        <w:tc>
          <w:tcPr>
            <w:tcW w:w="1328" w:type="dxa"/>
            <w:tcBorders>
              <w:top w:val="nil"/>
              <w:left w:val="nil"/>
              <w:bottom w:val="nil"/>
              <w:right w:val="nil"/>
            </w:tcBorders>
            <w:shd w:val="clear" w:color="auto" w:fill="auto"/>
            <w:noWrap/>
            <w:vAlign w:val="bottom"/>
            <w:hideMark/>
          </w:tcPr>
          <w:p w14:paraId="652481E5" w14:textId="2D539222"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-0.057</w:t>
            </w:r>
            <w:r w:rsidR="001655C8">
              <w:rPr>
                <w:rFonts w:ascii="Times New Roman" w:hAnsi="Times New Roman" w:cs="Times New Roman"/>
                <w:color w:val="000000"/>
                <w:sz w:val="20"/>
                <w:szCs w:val="20"/>
              </w:rPr>
              <w:t>4</w:t>
            </w:r>
          </w:p>
        </w:tc>
        <w:tc>
          <w:tcPr>
            <w:tcW w:w="1423" w:type="dxa"/>
            <w:tcBorders>
              <w:top w:val="nil"/>
              <w:left w:val="nil"/>
              <w:bottom w:val="nil"/>
              <w:right w:val="nil"/>
            </w:tcBorders>
            <w:shd w:val="clear" w:color="auto" w:fill="auto"/>
            <w:noWrap/>
            <w:vAlign w:val="bottom"/>
            <w:hideMark/>
          </w:tcPr>
          <w:p w14:paraId="44981DFC" w14:textId="5572958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0.00</w:t>
            </w:r>
            <w:r w:rsidR="001655C8">
              <w:rPr>
                <w:rFonts w:ascii="Times New Roman" w:hAnsi="Times New Roman" w:cs="Times New Roman"/>
                <w:color w:val="000000"/>
                <w:sz w:val="20"/>
                <w:szCs w:val="20"/>
              </w:rPr>
              <w:t>17</w:t>
            </w:r>
          </w:p>
        </w:tc>
        <w:tc>
          <w:tcPr>
            <w:tcW w:w="1033" w:type="dxa"/>
            <w:tcBorders>
              <w:top w:val="nil"/>
              <w:left w:val="nil"/>
              <w:bottom w:val="nil"/>
              <w:right w:val="nil"/>
            </w:tcBorders>
            <w:shd w:val="clear" w:color="auto" w:fill="auto"/>
            <w:noWrap/>
            <w:vAlign w:val="bottom"/>
            <w:hideMark/>
          </w:tcPr>
          <w:p w14:paraId="1AC326B0" w14:textId="27E0645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0.05</w:t>
            </w:r>
            <w:r w:rsidR="001655C8">
              <w:rPr>
                <w:rFonts w:ascii="Times New Roman" w:hAnsi="Times New Roman" w:cs="Times New Roman"/>
                <w:color w:val="000000"/>
                <w:sz w:val="20"/>
                <w:szCs w:val="20"/>
              </w:rPr>
              <w:t>57</w:t>
            </w:r>
          </w:p>
        </w:tc>
      </w:tr>
      <w:tr w:rsidR="0065284F" w:rsidRPr="005D5ACE" w14:paraId="304F32C7" w14:textId="77777777" w:rsidTr="008E3BF3">
        <w:trPr>
          <w:trHeight w:val="267"/>
        </w:trPr>
        <w:tc>
          <w:tcPr>
            <w:tcW w:w="1542" w:type="dxa"/>
            <w:tcBorders>
              <w:top w:val="nil"/>
              <w:left w:val="nil"/>
              <w:bottom w:val="nil"/>
              <w:right w:val="nil"/>
            </w:tcBorders>
            <w:shd w:val="clear" w:color="auto" w:fill="auto"/>
            <w:noWrap/>
            <w:vAlign w:val="bottom"/>
            <w:hideMark/>
          </w:tcPr>
          <w:p w14:paraId="5E7BD7FF" w14:textId="5AE9E310"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RAM</w:t>
            </w:r>
          </w:p>
        </w:tc>
        <w:tc>
          <w:tcPr>
            <w:tcW w:w="1136" w:type="dxa"/>
            <w:tcBorders>
              <w:top w:val="nil"/>
              <w:left w:val="nil"/>
              <w:bottom w:val="nil"/>
              <w:right w:val="nil"/>
            </w:tcBorders>
            <w:shd w:val="clear" w:color="auto" w:fill="auto"/>
            <w:noWrap/>
            <w:hideMark/>
          </w:tcPr>
          <w:p w14:paraId="501A3E48" w14:textId="51BA1816"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19D43889" w14:textId="4E1DCC2A"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0.019</w:t>
            </w:r>
            <w:r w:rsidR="001655C8">
              <w:rPr>
                <w:rFonts w:ascii="Times New Roman" w:hAnsi="Times New Roman" w:cs="Times New Roman"/>
                <w:color w:val="000000"/>
                <w:sz w:val="20"/>
                <w:szCs w:val="20"/>
              </w:rPr>
              <w:t>3</w:t>
            </w:r>
          </w:p>
        </w:tc>
        <w:tc>
          <w:tcPr>
            <w:tcW w:w="1374" w:type="dxa"/>
            <w:tcBorders>
              <w:top w:val="nil"/>
              <w:left w:val="nil"/>
              <w:bottom w:val="nil"/>
              <w:right w:val="nil"/>
            </w:tcBorders>
            <w:shd w:val="clear" w:color="auto" w:fill="auto"/>
            <w:noWrap/>
            <w:vAlign w:val="bottom"/>
            <w:hideMark/>
          </w:tcPr>
          <w:p w14:paraId="7D899437" w14:textId="197AC23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0.260</w:t>
            </w:r>
            <w:r w:rsidR="00BC40AB">
              <w:rPr>
                <w:rFonts w:ascii="Times New Roman" w:hAnsi="Times New Roman" w:cs="Times New Roman"/>
                <w:color w:val="000000"/>
                <w:sz w:val="20"/>
                <w:szCs w:val="20"/>
              </w:rPr>
              <w:t>4</w:t>
            </w:r>
          </w:p>
        </w:tc>
        <w:tc>
          <w:tcPr>
            <w:tcW w:w="1328" w:type="dxa"/>
            <w:tcBorders>
              <w:top w:val="nil"/>
              <w:left w:val="nil"/>
              <w:bottom w:val="nil"/>
              <w:right w:val="nil"/>
            </w:tcBorders>
            <w:shd w:val="clear" w:color="auto" w:fill="auto"/>
            <w:noWrap/>
            <w:vAlign w:val="bottom"/>
            <w:hideMark/>
          </w:tcPr>
          <w:p w14:paraId="220807E1" w14:textId="667746A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-0.13</w:t>
            </w:r>
            <w:r w:rsidR="00BC40AB">
              <w:rPr>
                <w:rFonts w:ascii="Times New Roman" w:hAnsi="Times New Roman" w:cs="Times New Roman"/>
                <w:color w:val="000000"/>
                <w:sz w:val="20"/>
                <w:szCs w:val="20"/>
              </w:rPr>
              <w:t>45</w:t>
            </w:r>
          </w:p>
        </w:tc>
        <w:tc>
          <w:tcPr>
            <w:tcW w:w="1423" w:type="dxa"/>
            <w:tcBorders>
              <w:top w:val="nil"/>
              <w:left w:val="nil"/>
              <w:bottom w:val="nil"/>
              <w:right w:val="nil"/>
            </w:tcBorders>
            <w:shd w:val="clear" w:color="auto" w:fill="auto"/>
            <w:noWrap/>
            <w:vAlign w:val="bottom"/>
            <w:hideMark/>
          </w:tcPr>
          <w:p w14:paraId="29230CFE" w14:textId="24720A0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0.012</w:t>
            </w:r>
            <w:r w:rsidR="00B90CAD">
              <w:rPr>
                <w:rFonts w:ascii="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14:paraId="40B64656" w14:textId="71111684"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0.094</w:t>
            </w:r>
            <w:r w:rsidR="00B90CAD">
              <w:rPr>
                <w:rFonts w:ascii="Times New Roman" w:hAnsi="Times New Roman" w:cs="Times New Roman"/>
                <w:color w:val="000000"/>
                <w:sz w:val="20"/>
                <w:szCs w:val="20"/>
              </w:rPr>
              <w:t>1</w:t>
            </w:r>
          </w:p>
        </w:tc>
      </w:tr>
      <w:tr w:rsidR="0065284F" w:rsidRPr="005D5ACE" w14:paraId="5A64CD63" w14:textId="77777777" w:rsidTr="008E3BF3">
        <w:trPr>
          <w:trHeight w:val="267"/>
        </w:trPr>
        <w:tc>
          <w:tcPr>
            <w:tcW w:w="1542" w:type="dxa"/>
            <w:tcBorders>
              <w:top w:val="nil"/>
              <w:left w:val="nil"/>
              <w:bottom w:val="nil"/>
              <w:right w:val="nil"/>
            </w:tcBorders>
            <w:shd w:val="clear" w:color="auto" w:fill="auto"/>
            <w:noWrap/>
            <w:vAlign w:val="bottom"/>
            <w:hideMark/>
          </w:tcPr>
          <w:p w14:paraId="695BBD7A" w14:textId="7F898CC2"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TAR</w:t>
            </w:r>
          </w:p>
        </w:tc>
        <w:tc>
          <w:tcPr>
            <w:tcW w:w="1136" w:type="dxa"/>
            <w:tcBorders>
              <w:top w:val="nil"/>
              <w:left w:val="nil"/>
              <w:bottom w:val="nil"/>
              <w:right w:val="nil"/>
            </w:tcBorders>
            <w:shd w:val="clear" w:color="auto" w:fill="auto"/>
            <w:noWrap/>
            <w:hideMark/>
          </w:tcPr>
          <w:p w14:paraId="7F80F291" w14:textId="4F0C0724"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10E6B18B" w14:textId="130D39AE"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0.023</w:t>
            </w:r>
            <w:r w:rsidR="00BC40AB">
              <w:rPr>
                <w:rFonts w:ascii="Times New Roman" w:hAnsi="Times New Roman" w:cs="Times New Roman"/>
                <w:color w:val="000000"/>
                <w:sz w:val="20"/>
                <w:szCs w:val="20"/>
              </w:rPr>
              <w:t>1</w:t>
            </w:r>
          </w:p>
        </w:tc>
        <w:tc>
          <w:tcPr>
            <w:tcW w:w="1374" w:type="dxa"/>
            <w:tcBorders>
              <w:top w:val="nil"/>
              <w:left w:val="nil"/>
              <w:bottom w:val="nil"/>
              <w:right w:val="nil"/>
            </w:tcBorders>
            <w:shd w:val="clear" w:color="auto" w:fill="auto"/>
            <w:noWrap/>
            <w:vAlign w:val="bottom"/>
            <w:hideMark/>
          </w:tcPr>
          <w:p w14:paraId="7D35E78D" w14:textId="428AD3F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0.290</w:t>
            </w:r>
            <w:r w:rsidR="00BC40AB">
              <w:rPr>
                <w:rFonts w:ascii="Times New Roman" w:hAnsi="Times New Roman" w:cs="Times New Roman"/>
                <w:color w:val="000000"/>
                <w:sz w:val="20"/>
                <w:szCs w:val="20"/>
              </w:rPr>
              <w:t>0</w:t>
            </w:r>
          </w:p>
        </w:tc>
        <w:tc>
          <w:tcPr>
            <w:tcW w:w="1328" w:type="dxa"/>
            <w:tcBorders>
              <w:top w:val="nil"/>
              <w:left w:val="nil"/>
              <w:bottom w:val="nil"/>
              <w:right w:val="nil"/>
            </w:tcBorders>
            <w:shd w:val="clear" w:color="auto" w:fill="auto"/>
            <w:noWrap/>
            <w:vAlign w:val="bottom"/>
            <w:hideMark/>
          </w:tcPr>
          <w:p w14:paraId="1801060F" w14:textId="0A0EFD60"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-0.161</w:t>
            </w:r>
            <w:r w:rsidR="00B90CAD">
              <w:rPr>
                <w:rFonts w:ascii="Times New Roman" w:hAnsi="Times New Roman" w:cs="Times New Roman"/>
                <w:color w:val="000000"/>
                <w:sz w:val="20"/>
                <w:szCs w:val="20"/>
              </w:rPr>
              <w:t>3</w:t>
            </w:r>
          </w:p>
        </w:tc>
        <w:tc>
          <w:tcPr>
            <w:tcW w:w="1423" w:type="dxa"/>
            <w:tcBorders>
              <w:top w:val="nil"/>
              <w:left w:val="nil"/>
              <w:bottom w:val="nil"/>
              <w:right w:val="nil"/>
            </w:tcBorders>
            <w:shd w:val="clear" w:color="auto" w:fill="auto"/>
            <w:noWrap/>
            <w:vAlign w:val="bottom"/>
            <w:hideMark/>
          </w:tcPr>
          <w:p w14:paraId="7A522E69" w14:textId="08DF8DEE"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0.01</w:t>
            </w:r>
            <w:r w:rsidR="00B90CAD">
              <w:rPr>
                <w:rFonts w:ascii="Times New Roman" w:hAnsi="Times New Roman" w:cs="Times New Roman"/>
                <w:color w:val="000000"/>
                <w:sz w:val="20"/>
                <w:szCs w:val="20"/>
              </w:rPr>
              <w:t>57</w:t>
            </w:r>
          </w:p>
        </w:tc>
        <w:tc>
          <w:tcPr>
            <w:tcW w:w="1033" w:type="dxa"/>
            <w:tcBorders>
              <w:top w:val="nil"/>
              <w:left w:val="nil"/>
              <w:bottom w:val="nil"/>
              <w:right w:val="nil"/>
            </w:tcBorders>
            <w:shd w:val="clear" w:color="auto" w:fill="auto"/>
            <w:noWrap/>
            <w:vAlign w:val="bottom"/>
            <w:hideMark/>
          </w:tcPr>
          <w:p w14:paraId="3DCB5E7E" w14:textId="163F518E"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0.116</w:t>
            </w:r>
            <w:r w:rsidR="00B90CAD">
              <w:rPr>
                <w:rFonts w:ascii="Times New Roman" w:hAnsi="Times New Roman" w:cs="Times New Roman"/>
                <w:color w:val="000000"/>
                <w:sz w:val="20"/>
                <w:szCs w:val="20"/>
              </w:rPr>
              <w:t>4</w:t>
            </w:r>
          </w:p>
        </w:tc>
      </w:tr>
      <w:tr w:rsidR="0065284F" w:rsidRPr="005D5ACE" w14:paraId="602D423B" w14:textId="77777777" w:rsidTr="008E3BF3">
        <w:trPr>
          <w:trHeight w:val="267"/>
        </w:trPr>
        <w:tc>
          <w:tcPr>
            <w:tcW w:w="1542" w:type="dxa"/>
            <w:tcBorders>
              <w:top w:val="nil"/>
              <w:left w:val="nil"/>
              <w:bottom w:val="nil"/>
              <w:right w:val="nil"/>
            </w:tcBorders>
            <w:shd w:val="clear" w:color="auto" w:fill="auto"/>
            <w:noWrap/>
            <w:vAlign w:val="bottom"/>
          </w:tcPr>
          <w:p w14:paraId="3AA9B2B8" w14:textId="226E9340" w:rsidR="0084018E" w:rsidRPr="001578CB" w:rsidRDefault="00B5487C"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LAW</w:t>
            </w:r>
          </w:p>
        </w:tc>
        <w:tc>
          <w:tcPr>
            <w:tcW w:w="1136" w:type="dxa"/>
            <w:tcBorders>
              <w:top w:val="nil"/>
              <w:left w:val="nil"/>
              <w:bottom w:val="nil"/>
              <w:right w:val="nil"/>
            </w:tcBorders>
            <w:shd w:val="clear" w:color="auto" w:fill="auto"/>
            <w:noWrap/>
          </w:tcPr>
          <w:p w14:paraId="1B3A00CE" w14:textId="587B17E1" w:rsidR="0084018E" w:rsidRPr="00E6351B" w:rsidRDefault="00B5487C"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tcPr>
          <w:p w14:paraId="1B3DAF03" w14:textId="0232B816" w:rsidR="0084018E" w:rsidRPr="00FE2685" w:rsidRDefault="00B5487C" w:rsidP="00FE268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1.622</w:t>
            </w:r>
            <w:r w:rsidR="00E0781A">
              <w:rPr>
                <w:rFonts w:ascii="Times New Roman" w:hAnsi="Times New Roman" w:cs="Times New Roman"/>
                <w:color w:val="000000"/>
                <w:sz w:val="20"/>
                <w:szCs w:val="20"/>
              </w:rPr>
              <w:t>5</w:t>
            </w:r>
          </w:p>
        </w:tc>
        <w:tc>
          <w:tcPr>
            <w:tcW w:w="1374" w:type="dxa"/>
            <w:tcBorders>
              <w:top w:val="nil"/>
              <w:left w:val="nil"/>
              <w:bottom w:val="nil"/>
              <w:right w:val="nil"/>
            </w:tcBorders>
            <w:shd w:val="clear" w:color="auto" w:fill="auto"/>
            <w:noWrap/>
            <w:vAlign w:val="bottom"/>
          </w:tcPr>
          <w:p w14:paraId="286FC734" w14:textId="03549B96" w:rsidR="0084018E" w:rsidRPr="00FE2685" w:rsidRDefault="00B5487C" w:rsidP="00FE268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0.44</w:t>
            </w:r>
            <w:r w:rsidR="00E0781A">
              <w:rPr>
                <w:rFonts w:ascii="Times New Roman" w:hAnsi="Times New Roman" w:cs="Times New Roman"/>
                <w:color w:val="000000"/>
                <w:sz w:val="20"/>
                <w:szCs w:val="20"/>
              </w:rPr>
              <w:t>3</w:t>
            </w:r>
            <w:r w:rsidR="00954833">
              <w:rPr>
                <w:rFonts w:ascii="Times New Roman" w:hAnsi="Times New Roman" w:cs="Times New Roman"/>
                <w:color w:val="000000"/>
                <w:sz w:val="20"/>
                <w:szCs w:val="20"/>
              </w:rPr>
              <w:t>7</w:t>
            </w:r>
          </w:p>
        </w:tc>
        <w:tc>
          <w:tcPr>
            <w:tcW w:w="1328" w:type="dxa"/>
            <w:tcBorders>
              <w:top w:val="nil"/>
              <w:left w:val="nil"/>
              <w:bottom w:val="nil"/>
              <w:right w:val="nil"/>
            </w:tcBorders>
            <w:shd w:val="clear" w:color="auto" w:fill="auto"/>
            <w:noWrap/>
            <w:vAlign w:val="bottom"/>
          </w:tcPr>
          <w:p w14:paraId="6339E9CF" w14:textId="5FE17ED7" w:rsidR="0084018E" w:rsidRPr="00FE2685" w:rsidRDefault="00145AEB" w:rsidP="00FE268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w:t>
            </w:r>
            <w:r w:rsidR="00E0781A">
              <w:rPr>
                <w:rFonts w:ascii="Times New Roman" w:hAnsi="Times New Roman" w:cs="Times New Roman"/>
                <w:color w:val="000000"/>
                <w:sz w:val="20"/>
                <w:szCs w:val="20"/>
              </w:rPr>
              <w:t>69</w:t>
            </w:r>
          </w:p>
        </w:tc>
        <w:tc>
          <w:tcPr>
            <w:tcW w:w="1423" w:type="dxa"/>
            <w:tcBorders>
              <w:top w:val="nil"/>
              <w:left w:val="nil"/>
              <w:bottom w:val="nil"/>
              <w:right w:val="nil"/>
            </w:tcBorders>
            <w:shd w:val="clear" w:color="auto" w:fill="auto"/>
            <w:noWrap/>
            <w:vAlign w:val="bottom"/>
          </w:tcPr>
          <w:p w14:paraId="3FCB94D3" w14:textId="32E9883F" w:rsidR="0084018E" w:rsidRPr="00FE2685" w:rsidRDefault="00145AEB" w:rsidP="00FE268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1.752</w:t>
            </w:r>
            <w:r w:rsidR="00867515">
              <w:rPr>
                <w:rFonts w:ascii="Times New Roman" w:hAnsi="Times New Roman" w:cs="Times New Roman"/>
                <w:color w:val="000000"/>
                <w:sz w:val="20"/>
                <w:szCs w:val="20"/>
              </w:rPr>
              <w:t>0</w:t>
            </w:r>
          </w:p>
        </w:tc>
        <w:tc>
          <w:tcPr>
            <w:tcW w:w="1033" w:type="dxa"/>
            <w:tcBorders>
              <w:top w:val="nil"/>
              <w:left w:val="nil"/>
              <w:bottom w:val="nil"/>
              <w:right w:val="nil"/>
            </w:tcBorders>
            <w:shd w:val="clear" w:color="auto" w:fill="auto"/>
            <w:noWrap/>
            <w:vAlign w:val="bottom"/>
          </w:tcPr>
          <w:p w14:paraId="00192857" w14:textId="68CBE488" w:rsidR="0084018E" w:rsidRPr="00FE2685" w:rsidRDefault="009A2496" w:rsidP="00FE268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1.78</w:t>
            </w:r>
            <w:r w:rsidR="00867515">
              <w:rPr>
                <w:rFonts w:ascii="Times New Roman" w:hAnsi="Times New Roman" w:cs="Times New Roman"/>
                <w:color w:val="000000"/>
                <w:sz w:val="20"/>
                <w:szCs w:val="20"/>
              </w:rPr>
              <w:t>57</w:t>
            </w:r>
          </w:p>
        </w:tc>
      </w:tr>
      <w:tr w:rsidR="0065284F" w:rsidRPr="005D5ACE" w14:paraId="33CB8436" w14:textId="77777777" w:rsidTr="008E3BF3">
        <w:trPr>
          <w:trHeight w:val="267"/>
        </w:trPr>
        <w:tc>
          <w:tcPr>
            <w:tcW w:w="1542" w:type="dxa"/>
            <w:tcBorders>
              <w:top w:val="nil"/>
              <w:left w:val="nil"/>
              <w:bottom w:val="nil"/>
              <w:right w:val="nil"/>
            </w:tcBorders>
            <w:shd w:val="clear" w:color="auto" w:fill="auto"/>
            <w:noWrap/>
            <w:vAlign w:val="bottom"/>
            <w:hideMark/>
          </w:tcPr>
          <w:p w14:paraId="6828280D"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SIZE</w:t>
            </w:r>
          </w:p>
        </w:tc>
        <w:tc>
          <w:tcPr>
            <w:tcW w:w="1136" w:type="dxa"/>
            <w:tcBorders>
              <w:top w:val="nil"/>
              <w:left w:val="nil"/>
              <w:bottom w:val="nil"/>
              <w:right w:val="nil"/>
            </w:tcBorders>
            <w:shd w:val="clear" w:color="auto" w:fill="auto"/>
            <w:noWrap/>
            <w:hideMark/>
          </w:tcPr>
          <w:p w14:paraId="679579CD" w14:textId="5272B917"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6C6E89B5" w14:textId="710B31D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7.35</w:t>
            </w:r>
            <w:r w:rsidR="0029529C">
              <w:rPr>
                <w:rFonts w:ascii="Times New Roman" w:hAnsi="Times New Roman" w:cs="Times New Roman"/>
                <w:color w:val="000000"/>
                <w:sz w:val="20"/>
                <w:szCs w:val="20"/>
              </w:rPr>
              <w:t>76</w:t>
            </w:r>
          </w:p>
        </w:tc>
        <w:tc>
          <w:tcPr>
            <w:tcW w:w="1374" w:type="dxa"/>
            <w:tcBorders>
              <w:top w:val="nil"/>
              <w:left w:val="nil"/>
              <w:bottom w:val="nil"/>
              <w:right w:val="nil"/>
            </w:tcBorders>
            <w:shd w:val="clear" w:color="auto" w:fill="auto"/>
            <w:noWrap/>
            <w:vAlign w:val="bottom"/>
            <w:hideMark/>
          </w:tcPr>
          <w:p w14:paraId="67A5D598" w14:textId="5584B9C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3.19</w:t>
            </w:r>
            <w:r w:rsidR="0029529C">
              <w:rPr>
                <w:rFonts w:ascii="Times New Roman" w:hAnsi="Times New Roman" w:cs="Times New Roman"/>
                <w:color w:val="000000"/>
                <w:sz w:val="20"/>
                <w:szCs w:val="20"/>
              </w:rPr>
              <w:t>16</w:t>
            </w:r>
          </w:p>
        </w:tc>
        <w:tc>
          <w:tcPr>
            <w:tcW w:w="1328" w:type="dxa"/>
            <w:tcBorders>
              <w:top w:val="nil"/>
              <w:left w:val="nil"/>
              <w:bottom w:val="nil"/>
              <w:right w:val="nil"/>
            </w:tcBorders>
            <w:shd w:val="clear" w:color="auto" w:fill="auto"/>
            <w:noWrap/>
            <w:vAlign w:val="bottom"/>
            <w:hideMark/>
          </w:tcPr>
          <w:p w14:paraId="60001756" w14:textId="5414BEF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5.323</w:t>
            </w:r>
            <w:r w:rsidR="00A72D98">
              <w:rPr>
                <w:rFonts w:ascii="Times New Roman" w:hAnsi="Times New Roman" w:cs="Times New Roman"/>
                <w:color w:val="000000"/>
                <w:sz w:val="20"/>
                <w:szCs w:val="20"/>
              </w:rPr>
              <w:t>1</w:t>
            </w:r>
          </w:p>
        </w:tc>
        <w:tc>
          <w:tcPr>
            <w:tcW w:w="1423" w:type="dxa"/>
            <w:tcBorders>
              <w:top w:val="nil"/>
              <w:left w:val="nil"/>
              <w:bottom w:val="nil"/>
              <w:right w:val="nil"/>
            </w:tcBorders>
            <w:shd w:val="clear" w:color="auto" w:fill="auto"/>
            <w:noWrap/>
            <w:vAlign w:val="bottom"/>
            <w:hideMark/>
          </w:tcPr>
          <w:p w14:paraId="7E8C2664" w14:textId="213D3D08"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7.309</w:t>
            </w:r>
            <w:r w:rsidR="00A72D98">
              <w:rPr>
                <w:rFonts w:ascii="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14:paraId="61A9B699" w14:textId="272C9CA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9.346</w:t>
            </w:r>
            <w:r w:rsidR="00A72D98">
              <w:rPr>
                <w:rFonts w:ascii="Times New Roman" w:hAnsi="Times New Roman" w:cs="Times New Roman"/>
                <w:color w:val="000000"/>
                <w:sz w:val="20"/>
                <w:szCs w:val="20"/>
              </w:rPr>
              <w:t>0</w:t>
            </w:r>
          </w:p>
        </w:tc>
      </w:tr>
      <w:tr w:rsidR="0065284F" w:rsidRPr="005D5ACE" w14:paraId="032BE9C0" w14:textId="77777777" w:rsidTr="008E3BF3">
        <w:trPr>
          <w:trHeight w:val="267"/>
        </w:trPr>
        <w:tc>
          <w:tcPr>
            <w:tcW w:w="1542" w:type="dxa"/>
            <w:tcBorders>
              <w:top w:val="nil"/>
              <w:left w:val="nil"/>
              <w:bottom w:val="nil"/>
              <w:right w:val="nil"/>
            </w:tcBorders>
            <w:shd w:val="clear" w:color="auto" w:fill="auto"/>
            <w:noWrap/>
            <w:vAlign w:val="bottom"/>
            <w:hideMark/>
          </w:tcPr>
          <w:p w14:paraId="219BE7C8"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LEV</w:t>
            </w:r>
          </w:p>
        </w:tc>
        <w:tc>
          <w:tcPr>
            <w:tcW w:w="1136" w:type="dxa"/>
            <w:tcBorders>
              <w:top w:val="nil"/>
              <w:left w:val="nil"/>
              <w:bottom w:val="nil"/>
              <w:right w:val="nil"/>
            </w:tcBorders>
            <w:shd w:val="clear" w:color="auto" w:fill="auto"/>
            <w:noWrap/>
            <w:hideMark/>
          </w:tcPr>
          <w:p w14:paraId="7517A72A" w14:textId="544E860A"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2774E959" w14:textId="5FD921D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0.19</w:t>
            </w:r>
            <w:r w:rsidR="00E95B64">
              <w:rPr>
                <w:rFonts w:ascii="Times New Roman" w:hAnsi="Times New Roman" w:cs="Times New Roman"/>
                <w:color w:val="000000"/>
                <w:sz w:val="20"/>
                <w:szCs w:val="20"/>
              </w:rPr>
              <w:t>58</w:t>
            </w:r>
          </w:p>
        </w:tc>
        <w:tc>
          <w:tcPr>
            <w:tcW w:w="1374" w:type="dxa"/>
            <w:tcBorders>
              <w:top w:val="nil"/>
              <w:left w:val="nil"/>
              <w:bottom w:val="nil"/>
              <w:right w:val="nil"/>
            </w:tcBorders>
            <w:shd w:val="clear" w:color="auto" w:fill="auto"/>
            <w:noWrap/>
            <w:vAlign w:val="bottom"/>
            <w:hideMark/>
          </w:tcPr>
          <w:p w14:paraId="4B28D52C" w14:textId="544A2BB7"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0.181</w:t>
            </w:r>
            <w:r w:rsidR="00853D53">
              <w:rPr>
                <w:rFonts w:ascii="Times New Roman" w:hAnsi="Times New Roman" w:cs="Times New Roman"/>
                <w:color w:val="000000"/>
                <w:sz w:val="20"/>
                <w:szCs w:val="20"/>
              </w:rPr>
              <w:t>4</w:t>
            </w:r>
          </w:p>
        </w:tc>
        <w:tc>
          <w:tcPr>
            <w:tcW w:w="1328" w:type="dxa"/>
            <w:tcBorders>
              <w:top w:val="nil"/>
              <w:left w:val="nil"/>
              <w:bottom w:val="nil"/>
              <w:right w:val="nil"/>
            </w:tcBorders>
            <w:shd w:val="clear" w:color="auto" w:fill="auto"/>
            <w:noWrap/>
            <w:vAlign w:val="bottom"/>
            <w:hideMark/>
          </w:tcPr>
          <w:p w14:paraId="7886CAA7" w14:textId="37A076EA"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0.021</w:t>
            </w:r>
            <w:r w:rsidR="00853D53">
              <w:rPr>
                <w:rFonts w:ascii="Times New Roman" w:hAnsi="Times New Roman" w:cs="Times New Roman"/>
                <w:color w:val="000000"/>
                <w:sz w:val="20"/>
                <w:szCs w:val="20"/>
              </w:rPr>
              <w:t>3</w:t>
            </w:r>
          </w:p>
        </w:tc>
        <w:tc>
          <w:tcPr>
            <w:tcW w:w="1423" w:type="dxa"/>
            <w:tcBorders>
              <w:top w:val="nil"/>
              <w:left w:val="nil"/>
              <w:bottom w:val="nil"/>
              <w:right w:val="nil"/>
            </w:tcBorders>
            <w:shd w:val="clear" w:color="auto" w:fill="auto"/>
            <w:noWrap/>
            <w:vAlign w:val="bottom"/>
            <w:hideMark/>
          </w:tcPr>
          <w:p w14:paraId="6619686B" w14:textId="1335627E"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0.158</w:t>
            </w:r>
            <w:r w:rsidR="00853D53">
              <w:rPr>
                <w:rFonts w:ascii="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14:paraId="77C7C588" w14:textId="49D8935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0.325</w:t>
            </w:r>
            <w:r w:rsidR="00853D53">
              <w:rPr>
                <w:rFonts w:ascii="Times New Roman" w:hAnsi="Times New Roman" w:cs="Times New Roman"/>
                <w:color w:val="000000"/>
                <w:sz w:val="20"/>
                <w:szCs w:val="20"/>
              </w:rPr>
              <w:t>0</w:t>
            </w:r>
          </w:p>
        </w:tc>
      </w:tr>
      <w:tr w:rsidR="0065284F" w:rsidRPr="005D5ACE" w14:paraId="37048F72" w14:textId="77777777" w:rsidTr="008E3BF3">
        <w:trPr>
          <w:trHeight w:val="267"/>
        </w:trPr>
        <w:tc>
          <w:tcPr>
            <w:tcW w:w="1542" w:type="dxa"/>
            <w:tcBorders>
              <w:top w:val="nil"/>
              <w:left w:val="nil"/>
              <w:bottom w:val="nil"/>
              <w:right w:val="nil"/>
            </w:tcBorders>
            <w:shd w:val="clear" w:color="auto" w:fill="auto"/>
            <w:noWrap/>
            <w:vAlign w:val="bottom"/>
            <w:hideMark/>
          </w:tcPr>
          <w:p w14:paraId="46B31589"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AGE</w:t>
            </w:r>
          </w:p>
        </w:tc>
        <w:tc>
          <w:tcPr>
            <w:tcW w:w="1136" w:type="dxa"/>
            <w:tcBorders>
              <w:top w:val="nil"/>
              <w:left w:val="nil"/>
              <w:bottom w:val="nil"/>
              <w:right w:val="nil"/>
            </w:tcBorders>
            <w:shd w:val="clear" w:color="auto" w:fill="auto"/>
            <w:noWrap/>
            <w:hideMark/>
          </w:tcPr>
          <w:p w14:paraId="5F4DF7BF" w14:textId="33C1CE68"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4D263619" w14:textId="27F37D8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3.16</w:t>
            </w:r>
            <w:r w:rsidR="00427C06">
              <w:rPr>
                <w:rFonts w:ascii="Times New Roman" w:hAnsi="Times New Roman" w:cs="Times New Roman"/>
                <w:color w:val="000000"/>
                <w:sz w:val="20"/>
                <w:szCs w:val="20"/>
              </w:rPr>
              <w:t>77</w:t>
            </w:r>
          </w:p>
        </w:tc>
        <w:tc>
          <w:tcPr>
            <w:tcW w:w="1374" w:type="dxa"/>
            <w:tcBorders>
              <w:top w:val="nil"/>
              <w:left w:val="nil"/>
              <w:bottom w:val="nil"/>
              <w:right w:val="nil"/>
            </w:tcBorders>
            <w:shd w:val="clear" w:color="auto" w:fill="auto"/>
            <w:noWrap/>
            <w:vAlign w:val="bottom"/>
            <w:hideMark/>
          </w:tcPr>
          <w:p w14:paraId="4DF64382" w14:textId="4322C69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0.64</w:t>
            </w:r>
            <w:r w:rsidR="005927E6">
              <w:rPr>
                <w:rFonts w:ascii="Times New Roman" w:hAnsi="Times New Roman" w:cs="Times New Roman"/>
                <w:color w:val="000000"/>
                <w:sz w:val="20"/>
                <w:szCs w:val="20"/>
              </w:rPr>
              <w:t>75</w:t>
            </w:r>
          </w:p>
        </w:tc>
        <w:tc>
          <w:tcPr>
            <w:tcW w:w="1328" w:type="dxa"/>
            <w:tcBorders>
              <w:top w:val="nil"/>
              <w:left w:val="nil"/>
              <w:bottom w:val="nil"/>
              <w:right w:val="nil"/>
            </w:tcBorders>
            <w:shd w:val="clear" w:color="auto" w:fill="auto"/>
            <w:noWrap/>
            <w:vAlign w:val="bottom"/>
            <w:hideMark/>
          </w:tcPr>
          <w:p w14:paraId="7B88B7AD" w14:textId="4067AEA7"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2.686</w:t>
            </w:r>
            <w:r w:rsidR="005927E6">
              <w:rPr>
                <w:rFonts w:ascii="Times New Roman" w:hAnsi="Times New Roman" w:cs="Times New Roman"/>
                <w:color w:val="000000"/>
                <w:sz w:val="20"/>
                <w:szCs w:val="20"/>
              </w:rPr>
              <w:t>0</w:t>
            </w:r>
          </w:p>
        </w:tc>
        <w:tc>
          <w:tcPr>
            <w:tcW w:w="1423" w:type="dxa"/>
            <w:tcBorders>
              <w:top w:val="nil"/>
              <w:left w:val="nil"/>
              <w:bottom w:val="nil"/>
              <w:right w:val="nil"/>
            </w:tcBorders>
            <w:shd w:val="clear" w:color="auto" w:fill="auto"/>
            <w:noWrap/>
            <w:vAlign w:val="bottom"/>
            <w:hideMark/>
          </w:tcPr>
          <w:p w14:paraId="46FB65CD" w14:textId="282A151B"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3.12</w:t>
            </w:r>
            <w:r w:rsidR="005927E6">
              <w:rPr>
                <w:rFonts w:ascii="Times New Roman" w:hAnsi="Times New Roman" w:cs="Times New Roman"/>
                <w:color w:val="000000"/>
                <w:sz w:val="20"/>
                <w:szCs w:val="20"/>
              </w:rPr>
              <w:t>68</w:t>
            </w:r>
          </w:p>
        </w:tc>
        <w:tc>
          <w:tcPr>
            <w:tcW w:w="1033" w:type="dxa"/>
            <w:tcBorders>
              <w:top w:val="nil"/>
              <w:left w:val="nil"/>
              <w:bottom w:val="nil"/>
              <w:right w:val="nil"/>
            </w:tcBorders>
            <w:shd w:val="clear" w:color="auto" w:fill="auto"/>
            <w:noWrap/>
            <w:vAlign w:val="bottom"/>
            <w:hideMark/>
          </w:tcPr>
          <w:p w14:paraId="357D505A" w14:textId="63BC9E0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3.555</w:t>
            </w:r>
            <w:r w:rsidR="005927E6">
              <w:rPr>
                <w:rFonts w:ascii="Times New Roman" w:hAnsi="Times New Roman" w:cs="Times New Roman"/>
                <w:color w:val="000000"/>
                <w:sz w:val="20"/>
                <w:szCs w:val="20"/>
              </w:rPr>
              <w:t>3</w:t>
            </w:r>
          </w:p>
        </w:tc>
      </w:tr>
      <w:tr w:rsidR="0065284F" w:rsidRPr="005D5ACE" w14:paraId="508C7A27" w14:textId="77777777" w:rsidTr="008E3BF3">
        <w:trPr>
          <w:trHeight w:val="267"/>
        </w:trPr>
        <w:tc>
          <w:tcPr>
            <w:tcW w:w="1542" w:type="dxa"/>
            <w:tcBorders>
              <w:top w:val="nil"/>
              <w:left w:val="nil"/>
              <w:bottom w:val="nil"/>
              <w:right w:val="nil"/>
            </w:tcBorders>
            <w:shd w:val="clear" w:color="auto" w:fill="auto"/>
            <w:noWrap/>
            <w:vAlign w:val="bottom"/>
            <w:hideMark/>
          </w:tcPr>
          <w:p w14:paraId="44FFD537"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CAPEX</w:t>
            </w:r>
          </w:p>
        </w:tc>
        <w:tc>
          <w:tcPr>
            <w:tcW w:w="1136" w:type="dxa"/>
            <w:tcBorders>
              <w:top w:val="nil"/>
              <w:left w:val="nil"/>
              <w:bottom w:val="nil"/>
              <w:right w:val="nil"/>
            </w:tcBorders>
            <w:shd w:val="clear" w:color="auto" w:fill="auto"/>
            <w:noWrap/>
            <w:hideMark/>
          </w:tcPr>
          <w:p w14:paraId="25A37FCA" w14:textId="17BDB03B"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0C6A35F0" w14:textId="230C04E4"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3.844</w:t>
            </w:r>
            <w:r w:rsidR="00FC041E">
              <w:rPr>
                <w:rFonts w:ascii="Times New Roman" w:hAnsi="Times New Roman" w:cs="Times New Roman"/>
                <w:color w:val="000000"/>
                <w:sz w:val="20"/>
                <w:szCs w:val="20"/>
              </w:rPr>
              <w:t>2</w:t>
            </w:r>
          </w:p>
        </w:tc>
        <w:tc>
          <w:tcPr>
            <w:tcW w:w="1374" w:type="dxa"/>
            <w:tcBorders>
              <w:top w:val="nil"/>
              <w:left w:val="nil"/>
              <w:bottom w:val="nil"/>
              <w:right w:val="nil"/>
            </w:tcBorders>
            <w:shd w:val="clear" w:color="auto" w:fill="auto"/>
            <w:noWrap/>
            <w:vAlign w:val="bottom"/>
            <w:hideMark/>
          </w:tcPr>
          <w:p w14:paraId="61A3EB96" w14:textId="0F59B620"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3.524</w:t>
            </w:r>
            <w:r w:rsidR="00FC041E">
              <w:rPr>
                <w:rFonts w:ascii="Times New Roman" w:hAnsi="Times New Roman" w:cs="Times New Roman"/>
                <w:color w:val="000000"/>
                <w:sz w:val="20"/>
                <w:szCs w:val="20"/>
              </w:rPr>
              <w:t>1</w:t>
            </w:r>
          </w:p>
        </w:tc>
        <w:tc>
          <w:tcPr>
            <w:tcW w:w="1328" w:type="dxa"/>
            <w:tcBorders>
              <w:top w:val="nil"/>
              <w:left w:val="nil"/>
              <w:bottom w:val="nil"/>
              <w:right w:val="nil"/>
            </w:tcBorders>
            <w:shd w:val="clear" w:color="auto" w:fill="auto"/>
            <w:noWrap/>
            <w:vAlign w:val="bottom"/>
            <w:hideMark/>
          </w:tcPr>
          <w:p w14:paraId="6891CA8F" w14:textId="1AFDFA40"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1.600</w:t>
            </w:r>
            <w:r w:rsidR="00FC041E">
              <w:rPr>
                <w:rFonts w:ascii="Times New Roman" w:hAnsi="Times New Roman" w:cs="Times New Roman"/>
                <w:color w:val="000000"/>
                <w:sz w:val="20"/>
                <w:szCs w:val="20"/>
              </w:rPr>
              <w:t>4</w:t>
            </w:r>
          </w:p>
        </w:tc>
        <w:tc>
          <w:tcPr>
            <w:tcW w:w="1423" w:type="dxa"/>
            <w:tcBorders>
              <w:top w:val="nil"/>
              <w:left w:val="nil"/>
              <w:bottom w:val="nil"/>
              <w:right w:val="nil"/>
            </w:tcBorders>
            <w:shd w:val="clear" w:color="auto" w:fill="auto"/>
            <w:noWrap/>
            <w:vAlign w:val="bottom"/>
            <w:hideMark/>
          </w:tcPr>
          <w:p w14:paraId="3C14AD76" w14:textId="71787CC1"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3.94</w:t>
            </w:r>
            <w:r w:rsidR="00FC041E">
              <w:rPr>
                <w:rFonts w:ascii="Times New Roman" w:hAnsi="Times New Roman" w:cs="Times New Roman"/>
                <w:color w:val="000000"/>
                <w:sz w:val="20"/>
                <w:szCs w:val="20"/>
              </w:rPr>
              <w:t>69</w:t>
            </w:r>
          </w:p>
        </w:tc>
        <w:tc>
          <w:tcPr>
            <w:tcW w:w="1033" w:type="dxa"/>
            <w:tcBorders>
              <w:top w:val="nil"/>
              <w:left w:val="nil"/>
              <w:bottom w:val="nil"/>
              <w:right w:val="nil"/>
            </w:tcBorders>
            <w:shd w:val="clear" w:color="auto" w:fill="auto"/>
            <w:noWrap/>
            <w:vAlign w:val="bottom"/>
            <w:hideMark/>
          </w:tcPr>
          <w:p w14:paraId="004F55B9" w14:textId="3656F10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6.01</w:t>
            </w:r>
            <w:r w:rsidR="004C1641">
              <w:rPr>
                <w:rFonts w:ascii="Times New Roman" w:hAnsi="Times New Roman" w:cs="Times New Roman"/>
                <w:color w:val="000000"/>
                <w:sz w:val="20"/>
                <w:szCs w:val="20"/>
              </w:rPr>
              <w:t>26</w:t>
            </w:r>
          </w:p>
        </w:tc>
      </w:tr>
      <w:tr w:rsidR="0065284F" w:rsidRPr="005D5ACE" w14:paraId="73A7A167" w14:textId="77777777" w:rsidTr="008E3BF3">
        <w:trPr>
          <w:trHeight w:val="267"/>
        </w:trPr>
        <w:tc>
          <w:tcPr>
            <w:tcW w:w="1542" w:type="dxa"/>
            <w:tcBorders>
              <w:top w:val="nil"/>
              <w:left w:val="nil"/>
              <w:bottom w:val="nil"/>
              <w:right w:val="nil"/>
            </w:tcBorders>
            <w:shd w:val="clear" w:color="auto" w:fill="auto"/>
            <w:noWrap/>
            <w:vAlign w:val="bottom"/>
            <w:hideMark/>
          </w:tcPr>
          <w:p w14:paraId="38371278"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CASH</w:t>
            </w:r>
          </w:p>
        </w:tc>
        <w:tc>
          <w:tcPr>
            <w:tcW w:w="1136" w:type="dxa"/>
            <w:tcBorders>
              <w:top w:val="nil"/>
              <w:left w:val="nil"/>
              <w:bottom w:val="nil"/>
              <w:right w:val="nil"/>
            </w:tcBorders>
            <w:shd w:val="clear" w:color="auto" w:fill="auto"/>
            <w:noWrap/>
            <w:hideMark/>
          </w:tcPr>
          <w:p w14:paraId="33CC5971" w14:textId="2266D971"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41900158" w14:textId="55B10DB6"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0.161</w:t>
            </w:r>
            <w:r w:rsidR="004C1641">
              <w:rPr>
                <w:rFonts w:ascii="Times New Roman" w:hAnsi="Times New Roman" w:cs="Times New Roman"/>
                <w:color w:val="000000"/>
                <w:sz w:val="20"/>
                <w:szCs w:val="20"/>
              </w:rPr>
              <w:t>1</w:t>
            </w:r>
          </w:p>
        </w:tc>
        <w:tc>
          <w:tcPr>
            <w:tcW w:w="1374" w:type="dxa"/>
            <w:tcBorders>
              <w:top w:val="nil"/>
              <w:left w:val="nil"/>
              <w:bottom w:val="nil"/>
              <w:right w:val="nil"/>
            </w:tcBorders>
            <w:shd w:val="clear" w:color="auto" w:fill="auto"/>
            <w:noWrap/>
            <w:vAlign w:val="bottom"/>
            <w:hideMark/>
          </w:tcPr>
          <w:p w14:paraId="4C9056C6" w14:textId="406A39CB"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0.17</w:t>
            </w:r>
            <w:r w:rsidR="004C1641">
              <w:rPr>
                <w:rFonts w:ascii="Times New Roman" w:hAnsi="Times New Roman" w:cs="Times New Roman"/>
                <w:color w:val="000000"/>
                <w:sz w:val="20"/>
                <w:szCs w:val="20"/>
              </w:rPr>
              <w:t>88</w:t>
            </w:r>
          </w:p>
        </w:tc>
        <w:tc>
          <w:tcPr>
            <w:tcW w:w="1328" w:type="dxa"/>
            <w:tcBorders>
              <w:top w:val="nil"/>
              <w:left w:val="nil"/>
              <w:bottom w:val="nil"/>
              <w:right w:val="nil"/>
            </w:tcBorders>
            <w:shd w:val="clear" w:color="auto" w:fill="auto"/>
            <w:noWrap/>
            <w:vAlign w:val="bottom"/>
            <w:hideMark/>
          </w:tcPr>
          <w:p w14:paraId="585DC08C" w14:textId="12255192"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0.037</w:t>
            </w:r>
            <w:r w:rsidR="004C1641">
              <w:rPr>
                <w:rFonts w:ascii="Times New Roman" w:hAnsi="Times New Roman" w:cs="Times New Roman"/>
                <w:color w:val="000000"/>
                <w:sz w:val="20"/>
                <w:szCs w:val="20"/>
              </w:rPr>
              <w:t>4</w:t>
            </w:r>
          </w:p>
        </w:tc>
        <w:tc>
          <w:tcPr>
            <w:tcW w:w="1423" w:type="dxa"/>
            <w:tcBorders>
              <w:top w:val="nil"/>
              <w:left w:val="nil"/>
              <w:bottom w:val="nil"/>
              <w:right w:val="nil"/>
            </w:tcBorders>
            <w:shd w:val="clear" w:color="auto" w:fill="auto"/>
            <w:noWrap/>
            <w:vAlign w:val="bottom"/>
            <w:hideMark/>
          </w:tcPr>
          <w:p w14:paraId="1FB093CD" w14:textId="18DB29C1"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0.100</w:t>
            </w:r>
            <w:r w:rsidR="004C1641">
              <w:rPr>
                <w:rFonts w:ascii="Times New Roman" w:hAnsi="Times New Roman" w:cs="Times New Roman"/>
                <w:color w:val="000000"/>
                <w:sz w:val="20"/>
                <w:szCs w:val="20"/>
              </w:rPr>
              <w:t>2</w:t>
            </w:r>
          </w:p>
        </w:tc>
        <w:tc>
          <w:tcPr>
            <w:tcW w:w="1033" w:type="dxa"/>
            <w:tcBorders>
              <w:top w:val="nil"/>
              <w:left w:val="nil"/>
              <w:bottom w:val="nil"/>
              <w:right w:val="nil"/>
            </w:tcBorders>
            <w:shd w:val="clear" w:color="auto" w:fill="auto"/>
            <w:noWrap/>
            <w:vAlign w:val="bottom"/>
            <w:hideMark/>
          </w:tcPr>
          <w:p w14:paraId="5422EA40" w14:textId="4637F1D2"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0.21</w:t>
            </w:r>
            <w:r w:rsidR="004C1641">
              <w:rPr>
                <w:rFonts w:ascii="Times New Roman" w:hAnsi="Times New Roman" w:cs="Times New Roman"/>
                <w:color w:val="000000"/>
                <w:sz w:val="20"/>
                <w:szCs w:val="20"/>
              </w:rPr>
              <w:t>66</w:t>
            </w:r>
          </w:p>
        </w:tc>
      </w:tr>
      <w:tr w:rsidR="0065284F" w:rsidRPr="005D5ACE" w14:paraId="3A699F2A" w14:textId="77777777" w:rsidTr="008E3BF3">
        <w:trPr>
          <w:trHeight w:val="267"/>
        </w:trPr>
        <w:tc>
          <w:tcPr>
            <w:tcW w:w="1542" w:type="dxa"/>
            <w:tcBorders>
              <w:top w:val="nil"/>
              <w:left w:val="nil"/>
              <w:bottom w:val="nil"/>
              <w:right w:val="nil"/>
            </w:tcBorders>
            <w:shd w:val="clear" w:color="auto" w:fill="auto"/>
            <w:noWrap/>
            <w:vAlign w:val="bottom"/>
            <w:hideMark/>
          </w:tcPr>
          <w:p w14:paraId="00E7EFD9"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MTB</w:t>
            </w:r>
          </w:p>
        </w:tc>
        <w:tc>
          <w:tcPr>
            <w:tcW w:w="1136" w:type="dxa"/>
            <w:tcBorders>
              <w:top w:val="nil"/>
              <w:left w:val="nil"/>
              <w:bottom w:val="nil"/>
              <w:right w:val="nil"/>
            </w:tcBorders>
            <w:shd w:val="clear" w:color="auto" w:fill="auto"/>
            <w:noWrap/>
            <w:hideMark/>
          </w:tcPr>
          <w:p w14:paraId="5CE8FC05" w14:textId="3433B8B7"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711941C1" w14:textId="5C0BA88A" w:rsidR="00FE2685" w:rsidRPr="00FE2685" w:rsidRDefault="009A3A79"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2</w:t>
            </w:r>
            <w:r w:rsidR="00FE2685" w:rsidRPr="00FE2685">
              <w:rPr>
                <w:rFonts w:ascii="Times New Roman" w:hAnsi="Times New Roman" w:cs="Times New Roman"/>
                <w:color w:val="000000"/>
                <w:sz w:val="20"/>
                <w:szCs w:val="20"/>
              </w:rPr>
              <w:t>.523</w:t>
            </w:r>
            <w:r w:rsidR="004C1641">
              <w:rPr>
                <w:rFonts w:ascii="Times New Roman" w:hAnsi="Times New Roman" w:cs="Times New Roman"/>
                <w:color w:val="000000"/>
                <w:sz w:val="20"/>
                <w:szCs w:val="20"/>
              </w:rPr>
              <w:t>5</w:t>
            </w:r>
          </w:p>
        </w:tc>
        <w:tc>
          <w:tcPr>
            <w:tcW w:w="1374" w:type="dxa"/>
            <w:tcBorders>
              <w:top w:val="nil"/>
              <w:left w:val="nil"/>
              <w:bottom w:val="nil"/>
              <w:right w:val="nil"/>
            </w:tcBorders>
            <w:shd w:val="clear" w:color="auto" w:fill="auto"/>
            <w:noWrap/>
            <w:vAlign w:val="bottom"/>
            <w:hideMark/>
          </w:tcPr>
          <w:p w14:paraId="70FC6AAB" w14:textId="786EF36C"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0.267</w:t>
            </w:r>
            <w:r w:rsidR="00717298">
              <w:rPr>
                <w:rFonts w:ascii="Times New Roman" w:hAnsi="Times New Roman" w:cs="Times New Roman"/>
                <w:color w:val="000000"/>
                <w:sz w:val="20"/>
                <w:szCs w:val="20"/>
              </w:rPr>
              <w:t>2</w:t>
            </w:r>
          </w:p>
        </w:tc>
        <w:tc>
          <w:tcPr>
            <w:tcW w:w="1328" w:type="dxa"/>
            <w:tcBorders>
              <w:top w:val="nil"/>
              <w:left w:val="nil"/>
              <w:bottom w:val="nil"/>
              <w:right w:val="nil"/>
            </w:tcBorders>
            <w:shd w:val="clear" w:color="auto" w:fill="auto"/>
            <w:noWrap/>
            <w:vAlign w:val="bottom"/>
            <w:hideMark/>
          </w:tcPr>
          <w:p w14:paraId="1E950F25" w14:textId="6B44CD4B"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0.3</w:t>
            </w:r>
            <w:r w:rsidR="00717298">
              <w:rPr>
                <w:rFonts w:ascii="Times New Roman" w:hAnsi="Times New Roman" w:cs="Times New Roman"/>
                <w:color w:val="000000"/>
                <w:sz w:val="20"/>
                <w:szCs w:val="20"/>
              </w:rPr>
              <w:t>196</w:t>
            </w:r>
          </w:p>
        </w:tc>
        <w:tc>
          <w:tcPr>
            <w:tcW w:w="1423" w:type="dxa"/>
            <w:tcBorders>
              <w:top w:val="nil"/>
              <w:left w:val="nil"/>
              <w:bottom w:val="nil"/>
              <w:right w:val="nil"/>
            </w:tcBorders>
            <w:shd w:val="clear" w:color="auto" w:fill="auto"/>
            <w:noWrap/>
            <w:vAlign w:val="bottom"/>
            <w:hideMark/>
          </w:tcPr>
          <w:p w14:paraId="5772BD01" w14:textId="7A16DD44" w:rsidR="00FE2685" w:rsidRPr="00FE2685" w:rsidRDefault="009A3A79"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2</w:t>
            </w:r>
            <w:r w:rsidR="00FE2685" w:rsidRPr="00FE2685">
              <w:rPr>
                <w:rFonts w:ascii="Times New Roman" w:hAnsi="Times New Roman" w:cs="Times New Roman"/>
                <w:color w:val="000000"/>
                <w:sz w:val="20"/>
                <w:szCs w:val="20"/>
              </w:rPr>
              <w:t>.501</w:t>
            </w:r>
            <w:r w:rsidR="005F4118">
              <w:rPr>
                <w:rFonts w:ascii="Times New Roman" w:hAnsi="Times New Roman" w:cs="Times New Roman"/>
                <w:color w:val="000000"/>
                <w:sz w:val="20"/>
                <w:szCs w:val="20"/>
              </w:rPr>
              <w:t>2</w:t>
            </w:r>
          </w:p>
        </w:tc>
        <w:tc>
          <w:tcPr>
            <w:tcW w:w="1033" w:type="dxa"/>
            <w:tcBorders>
              <w:top w:val="nil"/>
              <w:left w:val="nil"/>
              <w:bottom w:val="nil"/>
              <w:right w:val="nil"/>
            </w:tcBorders>
            <w:shd w:val="clear" w:color="auto" w:fill="auto"/>
            <w:noWrap/>
            <w:vAlign w:val="bottom"/>
            <w:hideMark/>
          </w:tcPr>
          <w:p w14:paraId="67C9C2E7" w14:textId="4984A570" w:rsidR="00FE2685" w:rsidRPr="00FE2685" w:rsidRDefault="008F74EC" w:rsidP="00FE2685">
            <w:pPr>
              <w:spacing w:after="0" w:line="240" w:lineRule="auto"/>
              <w:jc w:val="right"/>
              <w:rPr>
                <w:rFonts w:ascii="Times New Roman" w:eastAsia="Times New Roman" w:hAnsi="Times New Roman" w:cs="Times New Roman"/>
                <w:color w:val="000000"/>
                <w:sz w:val="20"/>
                <w:szCs w:val="20"/>
                <w:lang w:eastAsia="en-NZ"/>
              </w:rPr>
            </w:pPr>
            <w:r>
              <w:rPr>
                <w:rFonts w:ascii="Times New Roman" w:hAnsi="Times New Roman" w:cs="Times New Roman"/>
                <w:color w:val="000000"/>
                <w:sz w:val="20"/>
                <w:szCs w:val="20"/>
              </w:rPr>
              <w:t>2</w:t>
            </w:r>
            <w:r w:rsidR="00FE2685" w:rsidRPr="00FE2685">
              <w:rPr>
                <w:rFonts w:ascii="Times New Roman" w:hAnsi="Times New Roman" w:cs="Times New Roman"/>
                <w:color w:val="000000"/>
                <w:sz w:val="20"/>
                <w:szCs w:val="20"/>
              </w:rPr>
              <w:t>.67</w:t>
            </w:r>
            <w:r w:rsidR="005F4118">
              <w:rPr>
                <w:rFonts w:ascii="Times New Roman" w:hAnsi="Times New Roman" w:cs="Times New Roman"/>
                <w:color w:val="000000"/>
                <w:sz w:val="20"/>
                <w:szCs w:val="20"/>
              </w:rPr>
              <w:t>66</w:t>
            </w:r>
          </w:p>
        </w:tc>
      </w:tr>
      <w:tr w:rsidR="0065284F" w:rsidRPr="005D5ACE" w14:paraId="705C402B" w14:textId="77777777" w:rsidTr="008E3BF3">
        <w:trPr>
          <w:trHeight w:val="267"/>
        </w:trPr>
        <w:tc>
          <w:tcPr>
            <w:tcW w:w="1542" w:type="dxa"/>
            <w:tcBorders>
              <w:top w:val="nil"/>
              <w:left w:val="nil"/>
              <w:bottom w:val="nil"/>
              <w:right w:val="nil"/>
            </w:tcBorders>
            <w:shd w:val="clear" w:color="auto" w:fill="auto"/>
            <w:noWrap/>
            <w:vAlign w:val="bottom"/>
            <w:hideMark/>
          </w:tcPr>
          <w:p w14:paraId="010BEDB8"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GFC</w:t>
            </w:r>
          </w:p>
        </w:tc>
        <w:tc>
          <w:tcPr>
            <w:tcW w:w="1136" w:type="dxa"/>
            <w:tcBorders>
              <w:top w:val="nil"/>
              <w:left w:val="nil"/>
              <w:bottom w:val="nil"/>
              <w:right w:val="nil"/>
            </w:tcBorders>
            <w:shd w:val="clear" w:color="auto" w:fill="auto"/>
            <w:noWrap/>
            <w:hideMark/>
          </w:tcPr>
          <w:p w14:paraId="41AB6F0E" w14:textId="63DA60C2"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nil"/>
              <w:right w:val="nil"/>
            </w:tcBorders>
            <w:shd w:val="clear" w:color="auto" w:fill="auto"/>
            <w:noWrap/>
            <w:vAlign w:val="bottom"/>
            <w:hideMark/>
          </w:tcPr>
          <w:p w14:paraId="68D0434D" w14:textId="00CBA8C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w:t>
            </w:r>
            <w:r w:rsidR="00C8145B">
              <w:rPr>
                <w:rFonts w:ascii="Times New Roman" w:hAnsi="Times New Roman" w:cs="Times New Roman"/>
                <w:color w:val="000000"/>
                <w:sz w:val="20"/>
                <w:szCs w:val="20"/>
              </w:rPr>
              <w:t>12</w:t>
            </w:r>
            <w:r w:rsidR="00805331">
              <w:rPr>
                <w:rFonts w:ascii="Times New Roman" w:hAnsi="Times New Roman" w:cs="Times New Roman"/>
                <w:color w:val="000000"/>
                <w:sz w:val="20"/>
                <w:szCs w:val="20"/>
              </w:rPr>
              <w:t>6</w:t>
            </w:r>
            <w:r w:rsidR="00323C84">
              <w:rPr>
                <w:rFonts w:ascii="Times New Roman" w:hAnsi="Times New Roman" w:cs="Times New Roman"/>
                <w:color w:val="000000"/>
                <w:sz w:val="20"/>
                <w:szCs w:val="20"/>
              </w:rPr>
              <w:t>1</w:t>
            </w:r>
          </w:p>
        </w:tc>
        <w:tc>
          <w:tcPr>
            <w:tcW w:w="1374" w:type="dxa"/>
            <w:tcBorders>
              <w:top w:val="nil"/>
              <w:left w:val="nil"/>
              <w:bottom w:val="nil"/>
              <w:right w:val="nil"/>
            </w:tcBorders>
            <w:shd w:val="clear" w:color="auto" w:fill="auto"/>
            <w:noWrap/>
            <w:vAlign w:val="bottom"/>
            <w:hideMark/>
          </w:tcPr>
          <w:p w14:paraId="18B2D6C3" w14:textId="2017CEFD"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w:t>
            </w:r>
            <w:r w:rsidR="008F5221">
              <w:rPr>
                <w:rFonts w:ascii="Times New Roman" w:hAnsi="Times New Roman" w:cs="Times New Roman"/>
                <w:color w:val="000000"/>
                <w:sz w:val="20"/>
                <w:szCs w:val="20"/>
              </w:rPr>
              <w:t>3320</w:t>
            </w:r>
          </w:p>
        </w:tc>
        <w:tc>
          <w:tcPr>
            <w:tcW w:w="1328" w:type="dxa"/>
            <w:tcBorders>
              <w:top w:val="nil"/>
              <w:left w:val="nil"/>
              <w:bottom w:val="nil"/>
              <w:right w:val="nil"/>
            </w:tcBorders>
            <w:shd w:val="clear" w:color="auto" w:fill="auto"/>
            <w:noWrap/>
            <w:vAlign w:val="bottom"/>
            <w:hideMark/>
          </w:tcPr>
          <w:p w14:paraId="1FE5BF00" w14:textId="15ACDBED"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w:t>
            </w:r>
            <w:r w:rsidR="008F5221">
              <w:rPr>
                <w:rFonts w:ascii="Times New Roman" w:hAnsi="Times New Roman" w:cs="Times New Roman"/>
                <w:color w:val="000000"/>
                <w:sz w:val="20"/>
                <w:szCs w:val="20"/>
              </w:rPr>
              <w:t>0</w:t>
            </w:r>
            <w:r w:rsidRPr="00FE2685">
              <w:rPr>
                <w:rFonts w:ascii="Times New Roman" w:hAnsi="Times New Roman" w:cs="Times New Roman"/>
                <w:color w:val="000000"/>
                <w:sz w:val="20"/>
                <w:szCs w:val="20"/>
              </w:rPr>
              <w:t>000</w:t>
            </w:r>
          </w:p>
        </w:tc>
        <w:tc>
          <w:tcPr>
            <w:tcW w:w="1423" w:type="dxa"/>
            <w:tcBorders>
              <w:top w:val="nil"/>
              <w:left w:val="nil"/>
              <w:bottom w:val="nil"/>
              <w:right w:val="nil"/>
            </w:tcBorders>
            <w:shd w:val="clear" w:color="auto" w:fill="auto"/>
            <w:noWrap/>
            <w:vAlign w:val="bottom"/>
            <w:hideMark/>
          </w:tcPr>
          <w:p w14:paraId="4BDD1367" w14:textId="7503AD7F"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w:t>
            </w:r>
            <w:r w:rsidR="00443FC0">
              <w:rPr>
                <w:rFonts w:ascii="Times New Roman" w:hAnsi="Times New Roman" w:cs="Times New Roman"/>
                <w:color w:val="000000"/>
                <w:sz w:val="20"/>
                <w:szCs w:val="20"/>
              </w:rPr>
              <w:t>0</w:t>
            </w:r>
            <w:r w:rsidRPr="00FE2685">
              <w:rPr>
                <w:rFonts w:ascii="Times New Roman" w:hAnsi="Times New Roman" w:cs="Times New Roman"/>
                <w:color w:val="000000"/>
                <w:sz w:val="20"/>
                <w:szCs w:val="20"/>
              </w:rPr>
              <w:t>000</w:t>
            </w:r>
          </w:p>
        </w:tc>
        <w:tc>
          <w:tcPr>
            <w:tcW w:w="1033" w:type="dxa"/>
            <w:tcBorders>
              <w:top w:val="nil"/>
              <w:left w:val="nil"/>
              <w:bottom w:val="nil"/>
              <w:right w:val="nil"/>
            </w:tcBorders>
            <w:shd w:val="clear" w:color="auto" w:fill="auto"/>
            <w:noWrap/>
            <w:vAlign w:val="bottom"/>
            <w:hideMark/>
          </w:tcPr>
          <w:p w14:paraId="7B3E3D4B" w14:textId="4C4B66E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0.</w:t>
            </w:r>
            <w:r w:rsidR="00443FC0">
              <w:rPr>
                <w:rFonts w:ascii="Times New Roman" w:hAnsi="Times New Roman" w:cs="Times New Roman"/>
                <w:color w:val="000000"/>
                <w:sz w:val="20"/>
                <w:szCs w:val="20"/>
              </w:rPr>
              <w:t>0</w:t>
            </w:r>
            <w:r w:rsidRPr="00FE2685">
              <w:rPr>
                <w:rFonts w:ascii="Times New Roman" w:hAnsi="Times New Roman" w:cs="Times New Roman"/>
                <w:color w:val="000000"/>
                <w:sz w:val="20"/>
                <w:szCs w:val="20"/>
              </w:rPr>
              <w:t>000</w:t>
            </w:r>
          </w:p>
        </w:tc>
      </w:tr>
      <w:tr w:rsidR="0065284F" w:rsidRPr="005D5ACE" w14:paraId="52266BD5" w14:textId="77777777" w:rsidTr="00FE2685">
        <w:trPr>
          <w:trHeight w:val="267"/>
        </w:trPr>
        <w:tc>
          <w:tcPr>
            <w:tcW w:w="1542" w:type="dxa"/>
            <w:tcBorders>
              <w:top w:val="nil"/>
              <w:left w:val="nil"/>
              <w:bottom w:val="single" w:sz="4" w:space="0" w:color="auto"/>
              <w:right w:val="nil"/>
            </w:tcBorders>
            <w:shd w:val="clear" w:color="auto" w:fill="auto"/>
            <w:noWrap/>
            <w:vAlign w:val="bottom"/>
            <w:hideMark/>
          </w:tcPr>
          <w:p w14:paraId="28009088" w14:textId="77777777" w:rsidR="00FE2685" w:rsidRPr="001578CB" w:rsidRDefault="00FE2685" w:rsidP="00FE2685">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GDP</w:t>
            </w:r>
          </w:p>
        </w:tc>
        <w:tc>
          <w:tcPr>
            <w:tcW w:w="1136" w:type="dxa"/>
            <w:tcBorders>
              <w:top w:val="nil"/>
              <w:left w:val="nil"/>
              <w:bottom w:val="single" w:sz="4" w:space="0" w:color="auto"/>
              <w:right w:val="nil"/>
            </w:tcBorders>
            <w:shd w:val="clear" w:color="auto" w:fill="auto"/>
            <w:noWrap/>
            <w:hideMark/>
          </w:tcPr>
          <w:p w14:paraId="38B5676E" w14:textId="78E6FFA2" w:rsidR="00FE2685" w:rsidRPr="005D5ACE"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E6351B">
              <w:rPr>
                <w:rFonts w:ascii="Times New Roman" w:eastAsia="Times New Roman" w:hAnsi="Times New Roman" w:cs="Times New Roman"/>
                <w:color w:val="000000"/>
                <w:sz w:val="20"/>
                <w:szCs w:val="20"/>
                <w:lang w:eastAsia="en-NZ"/>
              </w:rPr>
              <w:t>11,764</w:t>
            </w:r>
          </w:p>
        </w:tc>
        <w:tc>
          <w:tcPr>
            <w:tcW w:w="1173" w:type="dxa"/>
            <w:tcBorders>
              <w:top w:val="nil"/>
              <w:left w:val="nil"/>
              <w:bottom w:val="single" w:sz="4" w:space="0" w:color="auto"/>
              <w:right w:val="nil"/>
            </w:tcBorders>
            <w:shd w:val="clear" w:color="auto" w:fill="auto"/>
            <w:noWrap/>
            <w:vAlign w:val="bottom"/>
            <w:hideMark/>
          </w:tcPr>
          <w:p w14:paraId="224DBF61" w14:textId="62628914"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2.386</w:t>
            </w:r>
            <w:r w:rsidR="00443FC0">
              <w:rPr>
                <w:rFonts w:ascii="Times New Roman" w:hAnsi="Times New Roman" w:cs="Times New Roman"/>
                <w:color w:val="000000"/>
                <w:sz w:val="20"/>
                <w:szCs w:val="20"/>
              </w:rPr>
              <w:t>2</w:t>
            </w:r>
          </w:p>
        </w:tc>
        <w:tc>
          <w:tcPr>
            <w:tcW w:w="1374" w:type="dxa"/>
            <w:tcBorders>
              <w:top w:val="nil"/>
              <w:left w:val="nil"/>
              <w:bottom w:val="single" w:sz="4" w:space="0" w:color="auto"/>
              <w:right w:val="nil"/>
            </w:tcBorders>
            <w:shd w:val="clear" w:color="auto" w:fill="auto"/>
            <w:noWrap/>
            <w:vAlign w:val="bottom"/>
            <w:hideMark/>
          </w:tcPr>
          <w:p w14:paraId="1BB3AC9B" w14:textId="4C6C85D2"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2.36</w:t>
            </w:r>
            <w:r w:rsidR="00443FC0">
              <w:rPr>
                <w:rFonts w:ascii="Times New Roman" w:hAnsi="Times New Roman" w:cs="Times New Roman"/>
                <w:color w:val="000000"/>
                <w:sz w:val="20"/>
                <w:szCs w:val="20"/>
              </w:rPr>
              <w:t>89</w:t>
            </w:r>
          </w:p>
        </w:tc>
        <w:tc>
          <w:tcPr>
            <w:tcW w:w="1328" w:type="dxa"/>
            <w:tcBorders>
              <w:top w:val="nil"/>
              <w:left w:val="nil"/>
              <w:bottom w:val="single" w:sz="4" w:space="0" w:color="auto"/>
              <w:right w:val="nil"/>
            </w:tcBorders>
            <w:shd w:val="clear" w:color="auto" w:fill="auto"/>
            <w:noWrap/>
            <w:vAlign w:val="bottom"/>
            <w:hideMark/>
          </w:tcPr>
          <w:p w14:paraId="56F16AE8" w14:textId="18CEA8D3"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1.812</w:t>
            </w:r>
            <w:r w:rsidR="00443FC0">
              <w:rPr>
                <w:rFonts w:ascii="Times New Roman" w:hAnsi="Times New Roman" w:cs="Times New Roman"/>
                <w:color w:val="000000"/>
                <w:sz w:val="20"/>
                <w:szCs w:val="20"/>
              </w:rPr>
              <w:t>0</w:t>
            </w:r>
          </w:p>
        </w:tc>
        <w:tc>
          <w:tcPr>
            <w:tcW w:w="1423" w:type="dxa"/>
            <w:tcBorders>
              <w:top w:val="nil"/>
              <w:left w:val="nil"/>
              <w:bottom w:val="single" w:sz="4" w:space="0" w:color="auto"/>
              <w:right w:val="nil"/>
            </w:tcBorders>
            <w:shd w:val="clear" w:color="auto" w:fill="auto"/>
            <w:noWrap/>
            <w:vAlign w:val="bottom"/>
            <w:hideMark/>
          </w:tcPr>
          <w:p w14:paraId="069F33C1" w14:textId="7A569A52"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2.42</w:t>
            </w:r>
            <w:r w:rsidR="00443FC0">
              <w:rPr>
                <w:rFonts w:ascii="Times New Roman" w:hAnsi="Times New Roman" w:cs="Times New Roman"/>
                <w:color w:val="000000"/>
                <w:sz w:val="20"/>
                <w:szCs w:val="20"/>
              </w:rPr>
              <w:t>16</w:t>
            </w:r>
          </w:p>
        </w:tc>
        <w:tc>
          <w:tcPr>
            <w:tcW w:w="1033" w:type="dxa"/>
            <w:tcBorders>
              <w:top w:val="nil"/>
              <w:left w:val="nil"/>
              <w:bottom w:val="single" w:sz="4" w:space="0" w:color="auto"/>
              <w:right w:val="nil"/>
            </w:tcBorders>
            <w:shd w:val="clear" w:color="auto" w:fill="auto"/>
            <w:noWrap/>
            <w:vAlign w:val="bottom"/>
            <w:hideMark/>
          </w:tcPr>
          <w:p w14:paraId="2491350D" w14:textId="4E47F086" w:rsidR="00FE2685" w:rsidRPr="00FE2685" w:rsidRDefault="00FE2685" w:rsidP="00FE2685">
            <w:pPr>
              <w:spacing w:after="0" w:line="240" w:lineRule="auto"/>
              <w:jc w:val="right"/>
              <w:rPr>
                <w:rFonts w:ascii="Times New Roman" w:eastAsia="Times New Roman" w:hAnsi="Times New Roman" w:cs="Times New Roman"/>
                <w:color w:val="000000"/>
                <w:sz w:val="20"/>
                <w:szCs w:val="20"/>
                <w:lang w:eastAsia="en-NZ"/>
              </w:rPr>
            </w:pPr>
            <w:r w:rsidRPr="00FE2685">
              <w:rPr>
                <w:rFonts w:ascii="Times New Roman" w:hAnsi="Times New Roman" w:cs="Times New Roman"/>
                <w:color w:val="000000"/>
                <w:sz w:val="20"/>
                <w:szCs w:val="20"/>
              </w:rPr>
              <w:t>3.054</w:t>
            </w:r>
            <w:r w:rsidR="00443FC0">
              <w:rPr>
                <w:rFonts w:ascii="Times New Roman" w:hAnsi="Times New Roman" w:cs="Times New Roman"/>
                <w:color w:val="000000"/>
                <w:sz w:val="20"/>
                <w:szCs w:val="20"/>
              </w:rPr>
              <w:t>3</w:t>
            </w:r>
          </w:p>
        </w:tc>
      </w:tr>
    </w:tbl>
    <w:p w14:paraId="2703AEEF" w14:textId="54910132" w:rsidR="005E3506" w:rsidRPr="00F562F7" w:rsidRDefault="005E3506" w:rsidP="005E3506">
      <w:pPr>
        <w:spacing w:after="0" w:line="240" w:lineRule="auto"/>
        <w:jc w:val="both"/>
        <w:rPr>
          <w:rFonts w:ascii="Times New Roman" w:hAnsi="Times New Roman" w:cs="Times New Roman"/>
          <w:sz w:val="20"/>
          <w:szCs w:val="20"/>
        </w:rPr>
        <w:sectPr w:rsidR="005E3506" w:rsidRPr="00F562F7" w:rsidSect="007B1048">
          <w:footerReference w:type="default" r:id="rId12"/>
          <w:type w:val="continuous"/>
          <w:pgSz w:w="11906" w:h="16838"/>
          <w:pgMar w:top="1440" w:right="1440" w:bottom="1440" w:left="1440" w:header="708" w:footer="708" w:gutter="0"/>
          <w:cols w:space="708"/>
          <w:docGrid w:linePitch="360"/>
        </w:sectPr>
      </w:pPr>
      <w:r w:rsidRPr="00F562F7">
        <w:rPr>
          <w:rFonts w:ascii="Times New Roman" w:hAnsi="Times New Roman" w:cs="Times New Roman"/>
          <w:sz w:val="20"/>
          <w:szCs w:val="20"/>
        </w:rPr>
        <w:t>Note:</w:t>
      </w:r>
      <w:r w:rsidRPr="00F562F7">
        <w:rPr>
          <w:rFonts w:ascii="Times New Roman" w:hAnsi="Times New Roman" w:cs="Times New Roman"/>
          <w:color w:val="000000" w:themeColor="text1"/>
          <w:sz w:val="20"/>
          <w:szCs w:val="20"/>
        </w:rPr>
        <w:t xml:space="preserve"> </w:t>
      </w:r>
      <w:r w:rsidR="00FB15AF">
        <w:rPr>
          <w:rFonts w:ascii="Times New Roman" w:hAnsi="Times New Roman" w:cs="Times New Roman"/>
          <w:color w:val="000000" w:themeColor="text1"/>
          <w:sz w:val="20"/>
          <w:szCs w:val="20"/>
        </w:rPr>
        <w:t xml:space="preserve">AEM and RAM are reported in their raw </w:t>
      </w:r>
      <w:r w:rsidR="00C17843">
        <w:rPr>
          <w:rFonts w:ascii="Times New Roman" w:hAnsi="Times New Roman" w:cs="Times New Roman"/>
          <w:color w:val="000000" w:themeColor="text1"/>
          <w:sz w:val="20"/>
          <w:szCs w:val="20"/>
        </w:rPr>
        <w:t xml:space="preserve">values in this table, but are decile ranked in the regressions. </w:t>
      </w:r>
      <w:r w:rsidRPr="00F562F7">
        <w:rPr>
          <w:rFonts w:ascii="Times New Roman" w:hAnsi="Times New Roman" w:cs="Times New Roman"/>
          <w:sz w:val="20"/>
          <w:szCs w:val="20"/>
        </w:rPr>
        <w:t>All variable</w:t>
      </w:r>
      <w:r w:rsidR="00184AF0">
        <w:rPr>
          <w:rFonts w:ascii="Times New Roman" w:hAnsi="Times New Roman" w:cs="Times New Roman"/>
          <w:sz w:val="20"/>
          <w:szCs w:val="20"/>
        </w:rPr>
        <w:t>s</w:t>
      </w:r>
      <w:r w:rsidRPr="00F562F7">
        <w:rPr>
          <w:rFonts w:ascii="Times New Roman" w:hAnsi="Times New Roman" w:cs="Times New Roman"/>
          <w:sz w:val="20"/>
          <w:szCs w:val="20"/>
        </w:rPr>
        <w:t xml:space="preserve"> </w:t>
      </w:r>
      <w:r w:rsidR="00B21548">
        <w:rPr>
          <w:rFonts w:ascii="Times New Roman" w:hAnsi="Times New Roman" w:cs="Times New Roman"/>
          <w:sz w:val="20"/>
          <w:szCs w:val="20"/>
        </w:rPr>
        <w:t xml:space="preserve">are </w:t>
      </w:r>
      <w:r w:rsidRPr="00F562F7">
        <w:rPr>
          <w:rFonts w:ascii="Times New Roman" w:hAnsi="Times New Roman" w:cs="Times New Roman"/>
          <w:sz w:val="20"/>
          <w:szCs w:val="20"/>
        </w:rPr>
        <w:t>defin</w:t>
      </w:r>
      <w:r w:rsidR="00B21548">
        <w:rPr>
          <w:rFonts w:ascii="Times New Roman" w:hAnsi="Times New Roman" w:cs="Times New Roman"/>
          <w:sz w:val="20"/>
          <w:szCs w:val="20"/>
        </w:rPr>
        <w:t>ed</w:t>
      </w:r>
      <w:r w:rsidRPr="00F562F7">
        <w:rPr>
          <w:rFonts w:ascii="Times New Roman" w:hAnsi="Times New Roman" w:cs="Times New Roman"/>
          <w:sz w:val="20"/>
          <w:szCs w:val="20"/>
        </w:rPr>
        <w:t xml:space="preserve"> in Appendix</w:t>
      </w:r>
      <w:r>
        <w:rPr>
          <w:rFonts w:ascii="Times New Roman" w:hAnsi="Times New Roman" w:cs="Times New Roman"/>
          <w:sz w:val="20"/>
          <w:szCs w:val="20"/>
        </w:rPr>
        <w:t>.</w:t>
      </w:r>
      <w:r w:rsidRPr="00F562F7">
        <w:rPr>
          <w:rFonts w:ascii="Times New Roman" w:hAnsi="Times New Roman" w:cs="Times New Roman"/>
          <w:sz w:val="20"/>
          <w:szCs w:val="20"/>
        </w:rPr>
        <w:br w:type="page"/>
      </w:r>
    </w:p>
    <w:tbl>
      <w:tblPr>
        <w:tblW w:w="13746" w:type="dxa"/>
        <w:tblLayout w:type="fixed"/>
        <w:tblLook w:val="04A0" w:firstRow="1" w:lastRow="0" w:firstColumn="1" w:lastColumn="0" w:noHBand="0" w:noVBand="1"/>
      </w:tblPr>
      <w:tblGrid>
        <w:gridCol w:w="1375"/>
        <w:gridCol w:w="979"/>
        <w:gridCol w:w="981"/>
        <w:gridCol w:w="981"/>
        <w:gridCol w:w="981"/>
        <w:gridCol w:w="979"/>
        <w:gridCol w:w="981"/>
        <w:gridCol w:w="981"/>
        <w:gridCol w:w="981"/>
        <w:gridCol w:w="979"/>
        <w:gridCol w:w="981"/>
        <w:gridCol w:w="783"/>
        <w:gridCol w:w="981"/>
        <w:gridCol w:w="791"/>
        <w:gridCol w:w="12"/>
      </w:tblGrid>
      <w:tr w:rsidR="00A35FEF" w:rsidRPr="007C6120" w14:paraId="56C1B8B7" w14:textId="77777777" w:rsidTr="001578CB">
        <w:trPr>
          <w:trHeight w:val="275"/>
        </w:trPr>
        <w:tc>
          <w:tcPr>
            <w:tcW w:w="13746" w:type="dxa"/>
            <w:gridSpan w:val="15"/>
            <w:tcBorders>
              <w:left w:val="nil"/>
              <w:bottom w:val="single" w:sz="4" w:space="0" w:color="auto"/>
              <w:right w:val="nil"/>
            </w:tcBorders>
            <w:shd w:val="clear" w:color="auto" w:fill="auto"/>
            <w:noWrap/>
            <w:vAlign w:val="center"/>
          </w:tcPr>
          <w:p w14:paraId="23B0F55D" w14:textId="676B39D1" w:rsidR="00A35FEF" w:rsidRPr="001578CB" w:rsidRDefault="003C62C1" w:rsidP="00030140">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lastRenderedPageBreak/>
              <w:t xml:space="preserve">TABLE </w:t>
            </w:r>
            <w:r w:rsidR="0042717E" w:rsidRPr="001578CB">
              <w:rPr>
                <w:rFonts w:ascii="Times New Roman" w:eastAsia="Times New Roman" w:hAnsi="Times New Roman" w:cs="Times New Roman"/>
                <w:color w:val="000000"/>
                <w:sz w:val="20"/>
                <w:szCs w:val="20"/>
                <w:lang w:eastAsia="en-NZ"/>
              </w:rPr>
              <w:t>5</w:t>
            </w:r>
            <w:r w:rsidRPr="001578CB">
              <w:rPr>
                <w:rFonts w:ascii="Times New Roman" w:eastAsia="Times New Roman" w:hAnsi="Times New Roman" w:cs="Times New Roman"/>
                <w:color w:val="000000"/>
                <w:sz w:val="20"/>
                <w:szCs w:val="20"/>
                <w:lang w:eastAsia="en-NZ"/>
              </w:rPr>
              <w:t>: Correlation analysis</w:t>
            </w:r>
          </w:p>
        </w:tc>
      </w:tr>
      <w:tr w:rsidR="001578CB" w:rsidRPr="007C6120" w14:paraId="1BD5BD57" w14:textId="77777777" w:rsidTr="001578CB">
        <w:trPr>
          <w:gridAfter w:val="1"/>
          <w:wAfter w:w="12" w:type="dxa"/>
          <w:trHeight w:val="69"/>
        </w:trPr>
        <w:tc>
          <w:tcPr>
            <w:tcW w:w="1375" w:type="dxa"/>
            <w:tcBorders>
              <w:top w:val="single" w:sz="4" w:space="0" w:color="auto"/>
              <w:left w:val="nil"/>
              <w:bottom w:val="single" w:sz="4" w:space="0" w:color="auto"/>
              <w:right w:val="nil"/>
            </w:tcBorders>
            <w:shd w:val="clear" w:color="auto" w:fill="auto"/>
            <w:noWrap/>
            <w:vAlign w:val="center"/>
          </w:tcPr>
          <w:p w14:paraId="133AAB99" w14:textId="30A3AB84" w:rsidR="000E7C8E" w:rsidRPr="001578CB" w:rsidRDefault="000E7C8E" w:rsidP="000E7C8E">
            <w:pPr>
              <w:spacing w:after="0" w:line="240" w:lineRule="auto"/>
              <w:rPr>
                <w:rFonts w:ascii="Times New Roman" w:eastAsia="Times New Roman" w:hAnsi="Times New Roman" w:cs="Times New Roman"/>
                <w:color w:val="000000"/>
                <w:sz w:val="20"/>
                <w:szCs w:val="20"/>
                <w:lang w:eastAsia="en-NZ"/>
              </w:rPr>
            </w:pPr>
            <w:r w:rsidRPr="001578CB">
              <w:rPr>
                <w:rFonts w:ascii="Times New Roman" w:eastAsia="Times New Roman" w:hAnsi="Times New Roman" w:cs="Times New Roman"/>
                <w:color w:val="000000"/>
                <w:sz w:val="20"/>
                <w:szCs w:val="20"/>
                <w:lang w:eastAsia="en-NZ"/>
              </w:rPr>
              <w:t>Variables</w:t>
            </w:r>
          </w:p>
        </w:tc>
        <w:tc>
          <w:tcPr>
            <w:tcW w:w="979" w:type="dxa"/>
            <w:tcBorders>
              <w:top w:val="single" w:sz="4" w:space="0" w:color="auto"/>
              <w:left w:val="nil"/>
              <w:bottom w:val="single" w:sz="4" w:space="0" w:color="auto"/>
              <w:right w:val="nil"/>
            </w:tcBorders>
            <w:shd w:val="clear" w:color="auto" w:fill="auto"/>
            <w:noWrap/>
            <w:vAlign w:val="center"/>
          </w:tcPr>
          <w:p w14:paraId="4CD5B99D" w14:textId="0EC6A946" w:rsidR="000E7C8E" w:rsidRPr="001578CB" w:rsidRDefault="00851300" w:rsidP="000E7C8E">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SEOP</w:t>
            </w:r>
          </w:p>
        </w:tc>
        <w:tc>
          <w:tcPr>
            <w:tcW w:w="981" w:type="dxa"/>
            <w:tcBorders>
              <w:top w:val="single" w:sz="4" w:space="0" w:color="auto"/>
              <w:left w:val="nil"/>
              <w:bottom w:val="single" w:sz="4" w:space="0" w:color="auto"/>
              <w:right w:val="nil"/>
            </w:tcBorders>
          </w:tcPr>
          <w:p w14:paraId="3E3E9C3E" w14:textId="6908160A" w:rsidR="000E7C8E" w:rsidRPr="001578CB" w:rsidRDefault="003C62C1"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AEM</w:t>
            </w:r>
          </w:p>
        </w:tc>
        <w:tc>
          <w:tcPr>
            <w:tcW w:w="981" w:type="dxa"/>
            <w:tcBorders>
              <w:top w:val="single" w:sz="4" w:space="0" w:color="auto"/>
              <w:left w:val="nil"/>
              <w:bottom w:val="single" w:sz="4" w:space="0" w:color="auto"/>
              <w:right w:val="nil"/>
            </w:tcBorders>
          </w:tcPr>
          <w:p w14:paraId="02FCD90F" w14:textId="70A363E9" w:rsidR="000E7C8E" w:rsidRPr="001578CB" w:rsidRDefault="003C62C1"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RAM</w:t>
            </w:r>
          </w:p>
        </w:tc>
        <w:tc>
          <w:tcPr>
            <w:tcW w:w="981" w:type="dxa"/>
            <w:tcBorders>
              <w:top w:val="single" w:sz="4" w:space="0" w:color="auto"/>
              <w:left w:val="nil"/>
              <w:bottom w:val="single" w:sz="4" w:space="0" w:color="auto"/>
              <w:right w:val="nil"/>
            </w:tcBorders>
          </w:tcPr>
          <w:p w14:paraId="391FC275" w14:textId="67749511" w:rsidR="000E7C8E" w:rsidRPr="001578CB" w:rsidRDefault="003C62C1"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TAR</w:t>
            </w:r>
          </w:p>
        </w:tc>
        <w:tc>
          <w:tcPr>
            <w:tcW w:w="979" w:type="dxa"/>
            <w:tcBorders>
              <w:top w:val="single" w:sz="4" w:space="0" w:color="auto"/>
              <w:left w:val="nil"/>
              <w:bottom w:val="single" w:sz="4" w:space="0" w:color="auto"/>
              <w:right w:val="nil"/>
            </w:tcBorders>
            <w:shd w:val="clear" w:color="auto" w:fill="auto"/>
            <w:noWrap/>
            <w:vAlign w:val="center"/>
          </w:tcPr>
          <w:p w14:paraId="1273CA37" w14:textId="3E790298" w:rsidR="000E7C8E" w:rsidRPr="001578CB" w:rsidRDefault="00717733" w:rsidP="000E7C8E">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LAW</w:t>
            </w:r>
          </w:p>
        </w:tc>
        <w:tc>
          <w:tcPr>
            <w:tcW w:w="981" w:type="dxa"/>
            <w:tcBorders>
              <w:top w:val="single" w:sz="4" w:space="0" w:color="auto"/>
              <w:left w:val="nil"/>
              <w:bottom w:val="single" w:sz="4" w:space="0" w:color="auto"/>
              <w:right w:val="nil"/>
            </w:tcBorders>
            <w:shd w:val="clear" w:color="auto" w:fill="auto"/>
            <w:noWrap/>
            <w:vAlign w:val="center"/>
          </w:tcPr>
          <w:p w14:paraId="7F2163F0" w14:textId="43654DDF" w:rsidR="000E7C8E" w:rsidRPr="001578CB" w:rsidRDefault="00D916A9" w:rsidP="000E7C8E">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SIZE</w:t>
            </w:r>
          </w:p>
        </w:tc>
        <w:tc>
          <w:tcPr>
            <w:tcW w:w="981" w:type="dxa"/>
            <w:tcBorders>
              <w:top w:val="single" w:sz="4" w:space="0" w:color="auto"/>
              <w:left w:val="nil"/>
              <w:bottom w:val="single" w:sz="4" w:space="0" w:color="auto"/>
              <w:right w:val="nil"/>
            </w:tcBorders>
            <w:shd w:val="clear" w:color="auto" w:fill="auto"/>
            <w:noWrap/>
            <w:vAlign w:val="center"/>
          </w:tcPr>
          <w:p w14:paraId="3F03E4B9" w14:textId="206936E2" w:rsidR="000E7C8E" w:rsidRPr="001578CB" w:rsidRDefault="00551819" w:rsidP="000E7C8E">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LEV</w:t>
            </w:r>
          </w:p>
        </w:tc>
        <w:tc>
          <w:tcPr>
            <w:tcW w:w="981" w:type="dxa"/>
            <w:tcBorders>
              <w:top w:val="single" w:sz="4" w:space="0" w:color="auto"/>
              <w:left w:val="nil"/>
              <w:bottom w:val="single" w:sz="4" w:space="0" w:color="auto"/>
              <w:right w:val="nil"/>
            </w:tcBorders>
          </w:tcPr>
          <w:p w14:paraId="136A74D6" w14:textId="7F6B51E4" w:rsidR="000E7C8E" w:rsidRPr="001578CB" w:rsidRDefault="00522493"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AGE</w:t>
            </w:r>
          </w:p>
        </w:tc>
        <w:tc>
          <w:tcPr>
            <w:tcW w:w="979" w:type="dxa"/>
            <w:tcBorders>
              <w:top w:val="single" w:sz="4" w:space="0" w:color="auto"/>
              <w:left w:val="nil"/>
              <w:bottom w:val="single" w:sz="4" w:space="0" w:color="auto"/>
              <w:right w:val="nil"/>
            </w:tcBorders>
          </w:tcPr>
          <w:p w14:paraId="7610F13B" w14:textId="53319735" w:rsidR="000E7C8E" w:rsidRPr="001578CB" w:rsidRDefault="000E7C8E"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CA</w:t>
            </w:r>
            <w:r w:rsidR="00522493" w:rsidRPr="001578CB">
              <w:rPr>
                <w:rFonts w:ascii="Times New Roman" w:eastAsia="Times New Roman" w:hAnsi="Times New Roman" w:cs="Times New Roman"/>
                <w:i/>
                <w:iCs/>
                <w:color w:val="000000"/>
                <w:sz w:val="20"/>
                <w:szCs w:val="20"/>
                <w:lang w:val="en-US" w:eastAsia="en-NZ"/>
              </w:rPr>
              <w:t>PEX</w:t>
            </w:r>
          </w:p>
        </w:tc>
        <w:tc>
          <w:tcPr>
            <w:tcW w:w="981" w:type="dxa"/>
            <w:tcBorders>
              <w:top w:val="single" w:sz="4" w:space="0" w:color="auto"/>
              <w:left w:val="nil"/>
              <w:bottom w:val="single" w:sz="4" w:space="0" w:color="auto"/>
              <w:right w:val="nil"/>
            </w:tcBorders>
          </w:tcPr>
          <w:p w14:paraId="03036D2F" w14:textId="30829E00" w:rsidR="000E7C8E" w:rsidRPr="001578CB" w:rsidRDefault="00522493"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CASH</w:t>
            </w:r>
          </w:p>
        </w:tc>
        <w:tc>
          <w:tcPr>
            <w:tcW w:w="783" w:type="dxa"/>
            <w:tcBorders>
              <w:top w:val="single" w:sz="4" w:space="0" w:color="auto"/>
              <w:left w:val="nil"/>
              <w:bottom w:val="single" w:sz="4" w:space="0" w:color="auto"/>
              <w:right w:val="nil"/>
            </w:tcBorders>
          </w:tcPr>
          <w:p w14:paraId="35804438" w14:textId="1DF4465C" w:rsidR="000E7C8E" w:rsidRPr="001578CB" w:rsidRDefault="00522493" w:rsidP="000E7C8E">
            <w:pPr>
              <w:spacing w:after="0" w:line="240" w:lineRule="auto"/>
              <w:rPr>
                <w:rFonts w:ascii="Times New Roman" w:eastAsia="Times New Roman" w:hAnsi="Times New Roman" w:cs="Times New Roman"/>
                <w:i/>
                <w:iCs/>
                <w:color w:val="000000"/>
                <w:sz w:val="20"/>
                <w:szCs w:val="20"/>
                <w:lang w:val="en-US" w:eastAsia="en-NZ"/>
              </w:rPr>
            </w:pPr>
            <w:r w:rsidRPr="001578CB">
              <w:rPr>
                <w:rFonts w:ascii="Times New Roman" w:eastAsia="Times New Roman" w:hAnsi="Times New Roman" w:cs="Times New Roman"/>
                <w:i/>
                <w:iCs/>
                <w:color w:val="000000"/>
                <w:sz w:val="20"/>
                <w:szCs w:val="20"/>
                <w:lang w:val="en-US" w:eastAsia="en-NZ"/>
              </w:rPr>
              <w:t>MTB</w:t>
            </w:r>
          </w:p>
        </w:tc>
        <w:tc>
          <w:tcPr>
            <w:tcW w:w="981" w:type="dxa"/>
            <w:tcBorders>
              <w:top w:val="single" w:sz="4" w:space="0" w:color="auto"/>
              <w:left w:val="nil"/>
              <w:bottom w:val="single" w:sz="4" w:space="0" w:color="auto"/>
              <w:right w:val="nil"/>
            </w:tcBorders>
            <w:shd w:val="clear" w:color="auto" w:fill="auto"/>
            <w:noWrap/>
            <w:vAlign w:val="center"/>
          </w:tcPr>
          <w:p w14:paraId="14C5EF44" w14:textId="3F3C0187" w:rsidR="000E7C8E" w:rsidRPr="001578CB" w:rsidRDefault="000E7C8E" w:rsidP="000E7C8E">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G</w:t>
            </w:r>
            <w:r w:rsidR="00522493" w:rsidRPr="001578CB">
              <w:rPr>
                <w:rFonts w:ascii="Times New Roman" w:eastAsia="Times New Roman" w:hAnsi="Times New Roman" w:cs="Times New Roman"/>
                <w:i/>
                <w:iCs/>
                <w:color w:val="000000"/>
                <w:sz w:val="20"/>
                <w:szCs w:val="20"/>
                <w:lang w:eastAsia="en-NZ"/>
              </w:rPr>
              <w:t>FC</w:t>
            </w:r>
          </w:p>
        </w:tc>
        <w:tc>
          <w:tcPr>
            <w:tcW w:w="791" w:type="dxa"/>
            <w:tcBorders>
              <w:top w:val="single" w:sz="4" w:space="0" w:color="auto"/>
              <w:left w:val="nil"/>
              <w:bottom w:val="single" w:sz="4" w:space="0" w:color="auto"/>
              <w:right w:val="nil"/>
            </w:tcBorders>
            <w:shd w:val="clear" w:color="auto" w:fill="auto"/>
            <w:noWrap/>
            <w:vAlign w:val="center"/>
          </w:tcPr>
          <w:p w14:paraId="0878C2CC" w14:textId="05E32C28" w:rsidR="000E7C8E" w:rsidRPr="001578CB" w:rsidRDefault="000E7C8E" w:rsidP="000E7C8E">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GDP</w:t>
            </w:r>
          </w:p>
        </w:tc>
      </w:tr>
      <w:tr w:rsidR="001578CB" w:rsidRPr="007C6120" w14:paraId="3E3BA94D" w14:textId="77777777" w:rsidTr="001578CB">
        <w:trPr>
          <w:gridAfter w:val="1"/>
          <w:wAfter w:w="12" w:type="dxa"/>
          <w:trHeight w:val="275"/>
        </w:trPr>
        <w:tc>
          <w:tcPr>
            <w:tcW w:w="1375" w:type="dxa"/>
            <w:tcBorders>
              <w:top w:val="nil"/>
              <w:left w:val="nil"/>
              <w:bottom w:val="nil"/>
              <w:right w:val="nil"/>
            </w:tcBorders>
            <w:shd w:val="clear" w:color="auto" w:fill="auto"/>
            <w:noWrap/>
            <w:vAlign w:val="center"/>
            <w:hideMark/>
          </w:tcPr>
          <w:p w14:paraId="60D82CB4" w14:textId="7C13642B"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eastAsia="en-NZ"/>
              </w:rPr>
              <w:t>SEOP</w:t>
            </w:r>
          </w:p>
        </w:tc>
        <w:tc>
          <w:tcPr>
            <w:tcW w:w="979" w:type="dxa"/>
            <w:tcBorders>
              <w:top w:val="nil"/>
              <w:left w:val="nil"/>
              <w:bottom w:val="nil"/>
              <w:right w:val="nil"/>
            </w:tcBorders>
            <w:shd w:val="clear" w:color="auto" w:fill="auto"/>
            <w:noWrap/>
            <w:vAlign w:val="bottom"/>
          </w:tcPr>
          <w:p w14:paraId="6037E8A1" w14:textId="1795F4D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vAlign w:val="bottom"/>
          </w:tcPr>
          <w:p w14:paraId="60E80A22"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40D9947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76226CF4"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79" w:type="dxa"/>
            <w:tcBorders>
              <w:top w:val="nil"/>
              <w:left w:val="nil"/>
              <w:bottom w:val="nil"/>
              <w:right w:val="nil"/>
            </w:tcBorders>
            <w:shd w:val="clear" w:color="auto" w:fill="auto"/>
            <w:noWrap/>
            <w:vAlign w:val="bottom"/>
          </w:tcPr>
          <w:p w14:paraId="21BABBE9"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13C7A972"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6DBC3F0C"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69CB97E2"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79" w:type="dxa"/>
            <w:tcBorders>
              <w:top w:val="nil"/>
              <w:left w:val="nil"/>
              <w:bottom w:val="nil"/>
              <w:right w:val="nil"/>
            </w:tcBorders>
            <w:shd w:val="clear" w:color="auto" w:fill="auto"/>
            <w:vAlign w:val="bottom"/>
          </w:tcPr>
          <w:p w14:paraId="428EA1ED"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74E6DF5B"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83" w:type="dxa"/>
            <w:tcBorders>
              <w:top w:val="nil"/>
              <w:left w:val="nil"/>
              <w:bottom w:val="nil"/>
              <w:right w:val="nil"/>
            </w:tcBorders>
            <w:shd w:val="clear" w:color="auto" w:fill="auto"/>
            <w:vAlign w:val="bottom"/>
          </w:tcPr>
          <w:p w14:paraId="5813933A"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02040AF1"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91" w:type="dxa"/>
            <w:tcBorders>
              <w:top w:val="nil"/>
              <w:left w:val="nil"/>
              <w:bottom w:val="nil"/>
              <w:right w:val="nil"/>
            </w:tcBorders>
            <w:shd w:val="clear" w:color="auto" w:fill="auto"/>
            <w:noWrap/>
            <w:vAlign w:val="bottom"/>
          </w:tcPr>
          <w:p w14:paraId="70245E1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r>
      <w:tr w:rsidR="001578CB" w:rsidRPr="007C6120" w14:paraId="7732269B" w14:textId="77777777" w:rsidTr="001578CB">
        <w:trPr>
          <w:gridAfter w:val="1"/>
          <w:wAfter w:w="12" w:type="dxa"/>
          <w:trHeight w:val="275"/>
        </w:trPr>
        <w:tc>
          <w:tcPr>
            <w:tcW w:w="1375" w:type="dxa"/>
            <w:tcBorders>
              <w:top w:val="nil"/>
              <w:left w:val="nil"/>
              <w:bottom w:val="nil"/>
              <w:right w:val="nil"/>
            </w:tcBorders>
            <w:shd w:val="clear" w:color="auto" w:fill="auto"/>
            <w:noWrap/>
            <w:vAlign w:val="bottom"/>
            <w:hideMark/>
          </w:tcPr>
          <w:p w14:paraId="2ED8067B" w14:textId="30350D60"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7C6120">
              <w:rPr>
                <w:rFonts w:ascii="Times New Roman" w:eastAsia="Times New Roman" w:hAnsi="Times New Roman" w:cs="Times New Roman"/>
                <w:i/>
                <w:iCs/>
                <w:color w:val="000000"/>
                <w:sz w:val="20"/>
                <w:szCs w:val="20"/>
                <w:lang w:eastAsia="en-NZ"/>
              </w:rPr>
              <w:t>AEM</w:t>
            </w:r>
          </w:p>
        </w:tc>
        <w:tc>
          <w:tcPr>
            <w:tcW w:w="979" w:type="dxa"/>
            <w:tcBorders>
              <w:top w:val="nil"/>
              <w:left w:val="nil"/>
              <w:bottom w:val="nil"/>
              <w:right w:val="nil"/>
            </w:tcBorders>
            <w:shd w:val="clear" w:color="auto" w:fill="auto"/>
            <w:noWrap/>
            <w:vAlign w:val="bottom"/>
          </w:tcPr>
          <w:p w14:paraId="307D5CAC" w14:textId="6EDEEE37" w:rsidR="00123A86" w:rsidRPr="001578CB" w:rsidRDefault="00D32534"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w:t>
            </w:r>
            <w:r w:rsidR="00123A86" w:rsidRPr="001578CB">
              <w:rPr>
                <w:rFonts w:ascii="Times New Roman" w:hAnsi="Times New Roman" w:cs="Times New Roman"/>
                <w:b/>
                <w:bCs/>
                <w:i/>
                <w:iCs/>
                <w:color w:val="000000"/>
                <w:sz w:val="20"/>
                <w:szCs w:val="20"/>
              </w:rPr>
              <w:t>0.0635</w:t>
            </w:r>
          </w:p>
        </w:tc>
        <w:tc>
          <w:tcPr>
            <w:tcW w:w="981" w:type="dxa"/>
            <w:tcBorders>
              <w:top w:val="nil"/>
              <w:left w:val="nil"/>
              <w:bottom w:val="nil"/>
              <w:right w:val="nil"/>
            </w:tcBorders>
            <w:shd w:val="clear" w:color="auto" w:fill="auto"/>
            <w:vAlign w:val="bottom"/>
          </w:tcPr>
          <w:p w14:paraId="77ECD5CE" w14:textId="79659576" w:rsidR="00123A86" w:rsidRPr="001578CB" w:rsidRDefault="00123A86" w:rsidP="00123A86">
            <w:pPr>
              <w:spacing w:after="0" w:line="240" w:lineRule="auto"/>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vAlign w:val="bottom"/>
          </w:tcPr>
          <w:p w14:paraId="53D32643"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666FBDD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79" w:type="dxa"/>
            <w:tcBorders>
              <w:top w:val="nil"/>
              <w:left w:val="nil"/>
              <w:bottom w:val="nil"/>
              <w:right w:val="nil"/>
            </w:tcBorders>
            <w:shd w:val="clear" w:color="auto" w:fill="auto"/>
            <w:noWrap/>
            <w:vAlign w:val="bottom"/>
          </w:tcPr>
          <w:p w14:paraId="67D3CC35"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434DEFEF"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1FFA8622"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68F885D0"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79" w:type="dxa"/>
            <w:tcBorders>
              <w:top w:val="nil"/>
              <w:left w:val="nil"/>
              <w:bottom w:val="nil"/>
              <w:right w:val="nil"/>
            </w:tcBorders>
            <w:shd w:val="clear" w:color="auto" w:fill="auto"/>
            <w:vAlign w:val="bottom"/>
          </w:tcPr>
          <w:p w14:paraId="213276FF"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280BE6D6"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83" w:type="dxa"/>
            <w:tcBorders>
              <w:top w:val="nil"/>
              <w:left w:val="nil"/>
              <w:bottom w:val="nil"/>
              <w:right w:val="nil"/>
            </w:tcBorders>
            <w:shd w:val="clear" w:color="auto" w:fill="auto"/>
            <w:vAlign w:val="bottom"/>
          </w:tcPr>
          <w:p w14:paraId="6BA35D2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753AABD0"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91" w:type="dxa"/>
            <w:tcBorders>
              <w:top w:val="nil"/>
              <w:left w:val="nil"/>
              <w:bottom w:val="nil"/>
              <w:right w:val="nil"/>
            </w:tcBorders>
            <w:shd w:val="clear" w:color="auto" w:fill="auto"/>
            <w:noWrap/>
            <w:vAlign w:val="bottom"/>
          </w:tcPr>
          <w:p w14:paraId="66DE3F60"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r>
      <w:tr w:rsidR="001578CB" w:rsidRPr="007C6120" w14:paraId="46CF5205" w14:textId="77777777" w:rsidTr="001578CB">
        <w:trPr>
          <w:gridAfter w:val="1"/>
          <w:wAfter w:w="12" w:type="dxa"/>
          <w:trHeight w:val="275"/>
        </w:trPr>
        <w:tc>
          <w:tcPr>
            <w:tcW w:w="1375" w:type="dxa"/>
            <w:tcBorders>
              <w:top w:val="nil"/>
              <w:left w:val="nil"/>
              <w:bottom w:val="nil"/>
              <w:right w:val="nil"/>
            </w:tcBorders>
            <w:shd w:val="clear" w:color="auto" w:fill="auto"/>
            <w:noWrap/>
            <w:vAlign w:val="bottom"/>
            <w:hideMark/>
          </w:tcPr>
          <w:p w14:paraId="59FFF541" w14:textId="31C5D23D"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7C6120">
              <w:rPr>
                <w:rFonts w:ascii="Times New Roman" w:eastAsia="Times New Roman" w:hAnsi="Times New Roman" w:cs="Times New Roman"/>
                <w:i/>
                <w:iCs/>
                <w:color w:val="000000"/>
                <w:sz w:val="20"/>
                <w:szCs w:val="20"/>
                <w:lang w:eastAsia="en-NZ"/>
              </w:rPr>
              <w:t>RAM</w:t>
            </w:r>
          </w:p>
        </w:tc>
        <w:tc>
          <w:tcPr>
            <w:tcW w:w="979" w:type="dxa"/>
            <w:tcBorders>
              <w:top w:val="nil"/>
              <w:left w:val="nil"/>
              <w:bottom w:val="nil"/>
              <w:right w:val="nil"/>
            </w:tcBorders>
            <w:shd w:val="clear" w:color="auto" w:fill="auto"/>
            <w:noWrap/>
            <w:vAlign w:val="bottom"/>
          </w:tcPr>
          <w:p w14:paraId="4B709CA6" w14:textId="4923B5D8" w:rsidR="00123A86" w:rsidRPr="001578CB" w:rsidRDefault="00D32534"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w:t>
            </w:r>
            <w:r w:rsidR="00123A86" w:rsidRPr="001578CB">
              <w:rPr>
                <w:rFonts w:ascii="Times New Roman" w:hAnsi="Times New Roman" w:cs="Times New Roman"/>
                <w:b/>
                <w:bCs/>
                <w:i/>
                <w:iCs/>
                <w:color w:val="000000"/>
                <w:sz w:val="20"/>
                <w:szCs w:val="20"/>
              </w:rPr>
              <w:t>0.2327</w:t>
            </w:r>
          </w:p>
        </w:tc>
        <w:tc>
          <w:tcPr>
            <w:tcW w:w="981" w:type="dxa"/>
            <w:tcBorders>
              <w:top w:val="nil"/>
              <w:left w:val="nil"/>
              <w:bottom w:val="nil"/>
              <w:right w:val="nil"/>
            </w:tcBorders>
            <w:shd w:val="clear" w:color="auto" w:fill="auto"/>
            <w:vAlign w:val="bottom"/>
          </w:tcPr>
          <w:p w14:paraId="53BD0DD4" w14:textId="7A04018C"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-0.029</w:t>
            </w:r>
          </w:p>
        </w:tc>
        <w:tc>
          <w:tcPr>
            <w:tcW w:w="981" w:type="dxa"/>
            <w:tcBorders>
              <w:top w:val="nil"/>
              <w:left w:val="nil"/>
              <w:bottom w:val="nil"/>
              <w:right w:val="nil"/>
            </w:tcBorders>
            <w:shd w:val="clear" w:color="auto" w:fill="auto"/>
            <w:vAlign w:val="bottom"/>
          </w:tcPr>
          <w:p w14:paraId="16C86139" w14:textId="06BC4F26"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vAlign w:val="bottom"/>
          </w:tcPr>
          <w:p w14:paraId="20468E11"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79" w:type="dxa"/>
            <w:tcBorders>
              <w:top w:val="nil"/>
              <w:left w:val="nil"/>
              <w:bottom w:val="nil"/>
              <w:right w:val="nil"/>
            </w:tcBorders>
            <w:shd w:val="clear" w:color="auto" w:fill="auto"/>
            <w:noWrap/>
            <w:vAlign w:val="bottom"/>
          </w:tcPr>
          <w:p w14:paraId="4DC4EB28"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167E343A"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02A64E9F"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4122CA0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79" w:type="dxa"/>
            <w:tcBorders>
              <w:top w:val="nil"/>
              <w:left w:val="nil"/>
              <w:bottom w:val="nil"/>
              <w:right w:val="nil"/>
            </w:tcBorders>
            <w:shd w:val="clear" w:color="auto" w:fill="auto"/>
            <w:vAlign w:val="bottom"/>
          </w:tcPr>
          <w:p w14:paraId="6EAE5FF0"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32A37DC3"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83" w:type="dxa"/>
            <w:tcBorders>
              <w:top w:val="nil"/>
              <w:left w:val="nil"/>
              <w:bottom w:val="nil"/>
              <w:right w:val="nil"/>
            </w:tcBorders>
            <w:shd w:val="clear" w:color="auto" w:fill="auto"/>
            <w:vAlign w:val="bottom"/>
          </w:tcPr>
          <w:p w14:paraId="451C7A2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70881677"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91" w:type="dxa"/>
            <w:tcBorders>
              <w:top w:val="nil"/>
              <w:left w:val="nil"/>
              <w:bottom w:val="nil"/>
              <w:right w:val="nil"/>
            </w:tcBorders>
            <w:shd w:val="clear" w:color="auto" w:fill="auto"/>
            <w:noWrap/>
            <w:vAlign w:val="bottom"/>
          </w:tcPr>
          <w:p w14:paraId="2FD2D8AE"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r>
      <w:tr w:rsidR="0019167A" w:rsidRPr="0019167A" w14:paraId="495A574F" w14:textId="77777777" w:rsidTr="007C6120">
        <w:trPr>
          <w:gridAfter w:val="1"/>
          <w:wAfter w:w="12" w:type="dxa"/>
          <w:trHeight w:val="275"/>
        </w:trPr>
        <w:tc>
          <w:tcPr>
            <w:tcW w:w="1375" w:type="dxa"/>
            <w:tcBorders>
              <w:top w:val="nil"/>
              <w:left w:val="nil"/>
              <w:bottom w:val="nil"/>
              <w:right w:val="nil"/>
            </w:tcBorders>
            <w:shd w:val="clear" w:color="auto" w:fill="auto"/>
            <w:noWrap/>
            <w:vAlign w:val="bottom"/>
            <w:hideMark/>
          </w:tcPr>
          <w:p w14:paraId="1A8A563F" w14:textId="00C71FF5"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7C6120">
              <w:rPr>
                <w:rFonts w:ascii="Times New Roman" w:eastAsia="Times New Roman" w:hAnsi="Times New Roman" w:cs="Times New Roman"/>
                <w:i/>
                <w:iCs/>
                <w:color w:val="000000"/>
                <w:sz w:val="20"/>
                <w:szCs w:val="20"/>
                <w:lang w:eastAsia="en-NZ"/>
              </w:rPr>
              <w:t>TAR</w:t>
            </w:r>
          </w:p>
        </w:tc>
        <w:tc>
          <w:tcPr>
            <w:tcW w:w="979" w:type="dxa"/>
            <w:tcBorders>
              <w:top w:val="nil"/>
              <w:left w:val="nil"/>
              <w:bottom w:val="nil"/>
              <w:right w:val="nil"/>
            </w:tcBorders>
            <w:shd w:val="clear" w:color="auto" w:fill="auto"/>
            <w:noWrap/>
            <w:vAlign w:val="bottom"/>
          </w:tcPr>
          <w:p w14:paraId="481B6CDA" w14:textId="01351EE1" w:rsidR="00123A86" w:rsidRPr="001578CB" w:rsidRDefault="00D32534"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w:t>
            </w:r>
            <w:r w:rsidR="00123A86" w:rsidRPr="001578CB">
              <w:rPr>
                <w:rFonts w:ascii="Times New Roman" w:hAnsi="Times New Roman" w:cs="Times New Roman"/>
                <w:b/>
                <w:bCs/>
                <w:i/>
                <w:iCs/>
                <w:color w:val="000000"/>
                <w:sz w:val="20"/>
                <w:szCs w:val="20"/>
              </w:rPr>
              <w:t>0.2115</w:t>
            </w:r>
          </w:p>
        </w:tc>
        <w:tc>
          <w:tcPr>
            <w:tcW w:w="981" w:type="dxa"/>
            <w:tcBorders>
              <w:top w:val="nil"/>
              <w:left w:val="nil"/>
              <w:bottom w:val="nil"/>
              <w:right w:val="nil"/>
            </w:tcBorders>
            <w:shd w:val="clear" w:color="auto" w:fill="auto"/>
            <w:vAlign w:val="bottom"/>
          </w:tcPr>
          <w:p w14:paraId="2DD85996" w14:textId="6DEE4872"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0.7034</w:t>
            </w:r>
          </w:p>
        </w:tc>
        <w:tc>
          <w:tcPr>
            <w:tcW w:w="981" w:type="dxa"/>
            <w:tcBorders>
              <w:top w:val="nil"/>
              <w:left w:val="nil"/>
              <w:bottom w:val="nil"/>
              <w:right w:val="nil"/>
            </w:tcBorders>
            <w:shd w:val="clear" w:color="auto" w:fill="auto"/>
            <w:vAlign w:val="bottom"/>
          </w:tcPr>
          <w:p w14:paraId="5FF1ABCD" w14:textId="695E2BC8"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0.6901</w:t>
            </w:r>
          </w:p>
        </w:tc>
        <w:tc>
          <w:tcPr>
            <w:tcW w:w="981" w:type="dxa"/>
            <w:tcBorders>
              <w:top w:val="nil"/>
              <w:left w:val="nil"/>
              <w:bottom w:val="nil"/>
              <w:right w:val="nil"/>
            </w:tcBorders>
            <w:shd w:val="clear" w:color="auto" w:fill="auto"/>
            <w:vAlign w:val="bottom"/>
          </w:tcPr>
          <w:p w14:paraId="5558CF48" w14:textId="5CC29276"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79" w:type="dxa"/>
            <w:tcBorders>
              <w:top w:val="nil"/>
              <w:left w:val="nil"/>
              <w:bottom w:val="nil"/>
              <w:right w:val="nil"/>
            </w:tcBorders>
            <w:shd w:val="clear" w:color="auto" w:fill="auto"/>
            <w:noWrap/>
            <w:vAlign w:val="bottom"/>
          </w:tcPr>
          <w:p w14:paraId="4B14E801"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7C1548F3"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579C8345"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2A64C49C"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79" w:type="dxa"/>
            <w:tcBorders>
              <w:top w:val="nil"/>
              <w:left w:val="nil"/>
              <w:bottom w:val="nil"/>
              <w:right w:val="nil"/>
            </w:tcBorders>
            <w:shd w:val="clear" w:color="auto" w:fill="auto"/>
            <w:vAlign w:val="bottom"/>
          </w:tcPr>
          <w:p w14:paraId="76D766A4"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vAlign w:val="bottom"/>
          </w:tcPr>
          <w:p w14:paraId="408996D7"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83" w:type="dxa"/>
            <w:tcBorders>
              <w:top w:val="nil"/>
              <w:left w:val="nil"/>
              <w:bottom w:val="nil"/>
              <w:right w:val="nil"/>
            </w:tcBorders>
            <w:shd w:val="clear" w:color="auto" w:fill="auto"/>
            <w:vAlign w:val="bottom"/>
          </w:tcPr>
          <w:p w14:paraId="796C9A48"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981" w:type="dxa"/>
            <w:tcBorders>
              <w:top w:val="nil"/>
              <w:left w:val="nil"/>
              <w:bottom w:val="nil"/>
              <w:right w:val="nil"/>
            </w:tcBorders>
            <w:shd w:val="clear" w:color="auto" w:fill="auto"/>
            <w:noWrap/>
            <w:vAlign w:val="bottom"/>
          </w:tcPr>
          <w:p w14:paraId="5667B6BD"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c>
          <w:tcPr>
            <w:tcW w:w="791" w:type="dxa"/>
            <w:tcBorders>
              <w:top w:val="nil"/>
              <w:left w:val="nil"/>
              <w:bottom w:val="nil"/>
              <w:right w:val="nil"/>
            </w:tcBorders>
            <w:shd w:val="clear" w:color="auto" w:fill="auto"/>
            <w:noWrap/>
            <w:vAlign w:val="bottom"/>
          </w:tcPr>
          <w:p w14:paraId="63DA50CB" w14:textId="77777777" w:rsidR="00123A86" w:rsidRPr="001578CB" w:rsidRDefault="00123A86" w:rsidP="00123A86">
            <w:pPr>
              <w:spacing w:after="0" w:line="240" w:lineRule="auto"/>
              <w:rPr>
                <w:rFonts w:ascii="Times New Roman" w:eastAsia="Times New Roman" w:hAnsi="Times New Roman" w:cs="Times New Roman"/>
                <w:sz w:val="20"/>
                <w:szCs w:val="20"/>
                <w:lang w:eastAsia="en-NZ"/>
              </w:rPr>
            </w:pPr>
          </w:p>
        </w:tc>
      </w:tr>
      <w:tr w:rsidR="0019167A" w:rsidRPr="0019167A" w14:paraId="22C2EE88"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29D44A31" w14:textId="253CDA6F"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LAW</w:t>
            </w:r>
          </w:p>
        </w:tc>
        <w:tc>
          <w:tcPr>
            <w:tcW w:w="979" w:type="dxa"/>
            <w:tcBorders>
              <w:top w:val="nil"/>
              <w:left w:val="nil"/>
              <w:bottom w:val="nil"/>
              <w:right w:val="nil"/>
            </w:tcBorders>
            <w:shd w:val="clear" w:color="auto" w:fill="auto"/>
            <w:noWrap/>
            <w:vAlign w:val="bottom"/>
          </w:tcPr>
          <w:p w14:paraId="502F0122" w14:textId="2F79ADE8"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0.0131</w:t>
            </w:r>
          </w:p>
        </w:tc>
        <w:tc>
          <w:tcPr>
            <w:tcW w:w="981" w:type="dxa"/>
            <w:tcBorders>
              <w:top w:val="nil"/>
              <w:left w:val="nil"/>
              <w:bottom w:val="nil"/>
              <w:right w:val="nil"/>
            </w:tcBorders>
            <w:shd w:val="clear" w:color="auto" w:fill="auto"/>
            <w:vAlign w:val="bottom"/>
          </w:tcPr>
          <w:p w14:paraId="01B6E1A6" w14:textId="6A116C7A"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-0.0072</w:t>
            </w:r>
          </w:p>
        </w:tc>
        <w:tc>
          <w:tcPr>
            <w:tcW w:w="981" w:type="dxa"/>
            <w:tcBorders>
              <w:top w:val="nil"/>
              <w:left w:val="nil"/>
              <w:bottom w:val="nil"/>
              <w:right w:val="nil"/>
            </w:tcBorders>
            <w:shd w:val="clear" w:color="auto" w:fill="auto"/>
            <w:vAlign w:val="bottom"/>
          </w:tcPr>
          <w:p w14:paraId="5FFB5BB8" w14:textId="397B844C"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0.0041</w:t>
            </w:r>
          </w:p>
        </w:tc>
        <w:tc>
          <w:tcPr>
            <w:tcW w:w="981" w:type="dxa"/>
            <w:tcBorders>
              <w:top w:val="nil"/>
              <w:left w:val="nil"/>
              <w:bottom w:val="nil"/>
              <w:right w:val="nil"/>
            </w:tcBorders>
            <w:shd w:val="clear" w:color="auto" w:fill="auto"/>
            <w:vAlign w:val="bottom"/>
          </w:tcPr>
          <w:p w14:paraId="48FA8773" w14:textId="528F3ABD"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-0.0023</w:t>
            </w:r>
          </w:p>
        </w:tc>
        <w:tc>
          <w:tcPr>
            <w:tcW w:w="979" w:type="dxa"/>
            <w:tcBorders>
              <w:top w:val="nil"/>
              <w:left w:val="nil"/>
              <w:bottom w:val="nil"/>
              <w:right w:val="nil"/>
            </w:tcBorders>
            <w:shd w:val="clear" w:color="auto" w:fill="auto"/>
            <w:noWrap/>
            <w:vAlign w:val="bottom"/>
          </w:tcPr>
          <w:p w14:paraId="4E2B1CF2" w14:textId="5BCD4A6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noWrap/>
            <w:vAlign w:val="bottom"/>
          </w:tcPr>
          <w:p w14:paraId="67024568"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5D2D8A49"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vAlign w:val="bottom"/>
          </w:tcPr>
          <w:p w14:paraId="371EF4C0"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79" w:type="dxa"/>
            <w:tcBorders>
              <w:top w:val="nil"/>
              <w:left w:val="nil"/>
              <w:bottom w:val="nil"/>
              <w:right w:val="nil"/>
            </w:tcBorders>
            <w:shd w:val="clear" w:color="auto" w:fill="auto"/>
            <w:vAlign w:val="bottom"/>
          </w:tcPr>
          <w:p w14:paraId="39A0489C"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vAlign w:val="bottom"/>
          </w:tcPr>
          <w:p w14:paraId="550E60DD"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83" w:type="dxa"/>
            <w:tcBorders>
              <w:top w:val="nil"/>
              <w:left w:val="nil"/>
              <w:bottom w:val="nil"/>
              <w:right w:val="nil"/>
            </w:tcBorders>
            <w:shd w:val="clear" w:color="auto" w:fill="auto"/>
            <w:vAlign w:val="bottom"/>
          </w:tcPr>
          <w:p w14:paraId="23A6D01C"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518A832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49D59BB3"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0F03B188"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2B459C58" w14:textId="4A1AC54C"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SIZE</w:t>
            </w:r>
          </w:p>
        </w:tc>
        <w:tc>
          <w:tcPr>
            <w:tcW w:w="979" w:type="dxa"/>
            <w:tcBorders>
              <w:top w:val="nil"/>
              <w:left w:val="nil"/>
              <w:bottom w:val="nil"/>
              <w:right w:val="nil"/>
            </w:tcBorders>
            <w:shd w:val="clear" w:color="auto" w:fill="auto"/>
            <w:noWrap/>
            <w:vAlign w:val="bottom"/>
          </w:tcPr>
          <w:p w14:paraId="288B93A4" w14:textId="6DAC919B"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0.3766</w:t>
            </w:r>
          </w:p>
        </w:tc>
        <w:tc>
          <w:tcPr>
            <w:tcW w:w="981" w:type="dxa"/>
            <w:tcBorders>
              <w:top w:val="nil"/>
              <w:left w:val="nil"/>
              <w:bottom w:val="nil"/>
              <w:right w:val="nil"/>
            </w:tcBorders>
            <w:shd w:val="clear" w:color="auto" w:fill="auto"/>
            <w:vAlign w:val="bottom"/>
          </w:tcPr>
          <w:p w14:paraId="13C48143" w14:textId="105AE3F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-0.0221</w:t>
            </w:r>
          </w:p>
        </w:tc>
        <w:tc>
          <w:tcPr>
            <w:tcW w:w="981" w:type="dxa"/>
            <w:tcBorders>
              <w:top w:val="nil"/>
              <w:left w:val="nil"/>
              <w:bottom w:val="nil"/>
              <w:right w:val="nil"/>
            </w:tcBorders>
            <w:shd w:val="clear" w:color="auto" w:fill="auto"/>
            <w:vAlign w:val="bottom"/>
          </w:tcPr>
          <w:p w14:paraId="749FA42E" w14:textId="09E94458"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-0.0034</w:t>
            </w:r>
          </w:p>
        </w:tc>
        <w:tc>
          <w:tcPr>
            <w:tcW w:w="981" w:type="dxa"/>
            <w:tcBorders>
              <w:top w:val="nil"/>
              <w:left w:val="nil"/>
              <w:bottom w:val="nil"/>
              <w:right w:val="nil"/>
            </w:tcBorders>
            <w:shd w:val="clear" w:color="auto" w:fill="auto"/>
            <w:vAlign w:val="bottom"/>
          </w:tcPr>
          <w:p w14:paraId="2B6A656F" w14:textId="54EF98D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-0.0184</w:t>
            </w:r>
          </w:p>
        </w:tc>
        <w:tc>
          <w:tcPr>
            <w:tcW w:w="979" w:type="dxa"/>
            <w:tcBorders>
              <w:top w:val="nil"/>
              <w:left w:val="nil"/>
              <w:bottom w:val="nil"/>
              <w:right w:val="nil"/>
            </w:tcBorders>
            <w:shd w:val="clear" w:color="auto" w:fill="auto"/>
            <w:noWrap/>
            <w:vAlign w:val="bottom"/>
          </w:tcPr>
          <w:p w14:paraId="2BC21C62" w14:textId="06C85FA2"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-0.0172</w:t>
            </w:r>
          </w:p>
        </w:tc>
        <w:tc>
          <w:tcPr>
            <w:tcW w:w="981" w:type="dxa"/>
            <w:tcBorders>
              <w:top w:val="nil"/>
              <w:left w:val="nil"/>
              <w:bottom w:val="nil"/>
              <w:right w:val="nil"/>
            </w:tcBorders>
            <w:shd w:val="clear" w:color="auto" w:fill="auto"/>
            <w:noWrap/>
            <w:vAlign w:val="bottom"/>
          </w:tcPr>
          <w:p w14:paraId="50C792E6" w14:textId="50097B4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noWrap/>
            <w:vAlign w:val="bottom"/>
          </w:tcPr>
          <w:p w14:paraId="135B5D58"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vAlign w:val="bottom"/>
          </w:tcPr>
          <w:p w14:paraId="3318C000"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79" w:type="dxa"/>
            <w:tcBorders>
              <w:top w:val="nil"/>
              <w:left w:val="nil"/>
              <w:bottom w:val="nil"/>
              <w:right w:val="nil"/>
            </w:tcBorders>
            <w:shd w:val="clear" w:color="auto" w:fill="auto"/>
            <w:vAlign w:val="bottom"/>
          </w:tcPr>
          <w:p w14:paraId="578AA155"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vAlign w:val="bottom"/>
          </w:tcPr>
          <w:p w14:paraId="7C5C11D7"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83" w:type="dxa"/>
            <w:tcBorders>
              <w:top w:val="nil"/>
              <w:left w:val="nil"/>
              <w:bottom w:val="nil"/>
              <w:right w:val="nil"/>
            </w:tcBorders>
            <w:shd w:val="clear" w:color="auto" w:fill="auto"/>
            <w:vAlign w:val="bottom"/>
          </w:tcPr>
          <w:p w14:paraId="73256EBF"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7E168926"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4198691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71D060AF"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1BBE67A7" w14:textId="7ABA8A7B"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LEV</w:t>
            </w:r>
          </w:p>
        </w:tc>
        <w:tc>
          <w:tcPr>
            <w:tcW w:w="979" w:type="dxa"/>
            <w:tcBorders>
              <w:top w:val="nil"/>
              <w:left w:val="nil"/>
              <w:bottom w:val="nil"/>
              <w:right w:val="nil"/>
            </w:tcBorders>
            <w:shd w:val="clear" w:color="auto" w:fill="auto"/>
            <w:noWrap/>
            <w:vAlign w:val="bottom"/>
          </w:tcPr>
          <w:p w14:paraId="729B42D0" w14:textId="16CC34AF"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-0.0827</w:t>
            </w:r>
          </w:p>
        </w:tc>
        <w:tc>
          <w:tcPr>
            <w:tcW w:w="981" w:type="dxa"/>
            <w:tcBorders>
              <w:top w:val="nil"/>
              <w:left w:val="nil"/>
              <w:bottom w:val="nil"/>
              <w:right w:val="nil"/>
            </w:tcBorders>
            <w:shd w:val="clear" w:color="auto" w:fill="auto"/>
            <w:vAlign w:val="bottom"/>
          </w:tcPr>
          <w:p w14:paraId="6097D4C7" w14:textId="330DCCC8"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0.0133</w:t>
            </w:r>
          </w:p>
        </w:tc>
        <w:tc>
          <w:tcPr>
            <w:tcW w:w="981" w:type="dxa"/>
            <w:tcBorders>
              <w:top w:val="nil"/>
              <w:left w:val="nil"/>
              <w:bottom w:val="nil"/>
              <w:right w:val="nil"/>
            </w:tcBorders>
            <w:shd w:val="clear" w:color="auto" w:fill="auto"/>
            <w:vAlign w:val="bottom"/>
          </w:tcPr>
          <w:p w14:paraId="3BCAAD5C" w14:textId="3375D8C4"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-0.0577</w:t>
            </w:r>
          </w:p>
        </w:tc>
        <w:tc>
          <w:tcPr>
            <w:tcW w:w="981" w:type="dxa"/>
            <w:tcBorders>
              <w:top w:val="nil"/>
              <w:left w:val="nil"/>
              <w:bottom w:val="nil"/>
              <w:right w:val="nil"/>
            </w:tcBorders>
            <w:shd w:val="clear" w:color="auto" w:fill="auto"/>
            <w:vAlign w:val="bottom"/>
          </w:tcPr>
          <w:p w14:paraId="69697ECE" w14:textId="4B09B550"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-0.0314</w:t>
            </w:r>
          </w:p>
        </w:tc>
        <w:tc>
          <w:tcPr>
            <w:tcW w:w="979" w:type="dxa"/>
            <w:tcBorders>
              <w:top w:val="nil"/>
              <w:left w:val="nil"/>
              <w:bottom w:val="nil"/>
              <w:right w:val="nil"/>
            </w:tcBorders>
            <w:shd w:val="clear" w:color="auto" w:fill="auto"/>
            <w:noWrap/>
            <w:vAlign w:val="bottom"/>
          </w:tcPr>
          <w:p w14:paraId="0F32A39E" w14:textId="4E7D9D4C"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-0.0222</w:t>
            </w:r>
          </w:p>
        </w:tc>
        <w:tc>
          <w:tcPr>
            <w:tcW w:w="981" w:type="dxa"/>
            <w:tcBorders>
              <w:top w:val="nil"/>
              <w:left w:val="nil"/>
              <w:bottom w:val="nil"/>
              <w:right w:val="nil"/>
            </w:tcBorders>
            <w:shd w:val="clear" w:color="auto" w:fill="auto"/>
            <w:noWrap/>
            <w:vAlign w:val="bottom"/>
          </w:tcPr>
          <w:p w14:paraId="24BBA4C4" w14:textId="44084147"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0.1927</w:t>
            </w:r>
          </w:p>
        </w:tc>
        <w:tc>
          <w:tcPr>
            <w:tcW w:w="981" w:type="dxa"/>
            <w:tcBorders>
              <w:top w:val="nil"/>
              <w:left w:val="nil"/>
              <w:bottom w:val="nil"/>
              <w:right w:val="nil"/>
            </w:tcBorders>
            <w:shd w:val="clear" w:color="auto" w:fill="auto"/>
            <w:noWrap/>
            <w:vAlign w:val="bottom"/>
          </w:tcPr>
          <w:p w14:paraId="4DACA7CD" w14:textId="0BBD2460"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vAlign w:val="bottom"/>
          </w:tcPr>
          <w:p w14:paraId="73AE50F1"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79" w:type="dxa"/>
            <w:tcBorders>
              <w:top w:val="nil"/>
              <w:left w:val="nil"/>
              <w:bottom w:val="nil"/>
              <w:right w:val="nil"/>
            </w:tcBorders>
            <w:shd w:val="clear" w:color="auto" w:fill="auto"/>
            <w:vAlign w:val="bottom"/>
          </w:tcPr>
          <w:p w14:paraId="016415DB"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vAlign w:val="bottom"/>
          </w:tcPr>
          <w:p w14:paraId="77A72009"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83" w:type="dxa"/>
            <w:tcBorders>
              <w:top w:val="nil"/>
              <w:left w:val="nil"/>
              <w:bottom w:val="nil"/>
              <w:right w:val="nil"/>
            </w:tcBorders>
            <w:shd w:val="clear" w:color="auto" w:fill="auto"/>
            <w:vAlign w:val="bottom"/>
          </w:tcPr>
          <w:p w14:paraId="61850349"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46DC033A"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01749DA4"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15CF0158"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621A1E0C" w14:textId="6F2A04E6"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AGE</w:t>
            </w:r>
          </w:p>
        </w:tc>
        <w:tc>
          <w:tcPr>
            <w:tcW w:w="979" w:type="dxa"/>
            <w:tcBorders>
              <w:top w:val="nil"/>
              <w:left w:val="nil"/>
              <w:bottom w:val="nil"/>
              <w:right w:val="nil"/>
            </w:tcBorders>
            <w:shd w:val="clear" w:color="auto" w:fill="auto"/>
            <w:noWrap/>
            <w:vAlign w:val="bottom"/>
          </w:tcPr>
          <w:p w14:paraId="1EFF9D22" w14:textId="722939B5"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0.0371</w:t>
            </w:r>
          </w:p>
        </w:tc>
        <w:tc>
          <w:tcPr>
            <w:tcW w:w="981" w:type="dxa"/>
            <w:tcBorders>
              <w:top w:val="nil"/>
              <w:left w:val="nil"/>
              <w:bottom w:val="nil"/>
              <w:right w:val="nil"/>
            </w:tcBorders>
            <w:shd w:val="clear" w:color="auto" w:fill="auto"/>
            <w:vAlign w:val="bottom"/>
          </w:tcPr>
          <w:p w14:paraId="4A31C335" w14:textId="3297D5DB"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-0.038</w:t>
            </w:r>
            <w:r w:rsidR="00266CF5" w:rsidRPr="001578CB">
              <w:rPr>
                <w:rFonts w:ascii="Times New Roman" w:hAnsi="Times New Roman" w:cs="Times New Roman"/>
                <w:b/>
                <w:bCs/>
                <w:i/>
                <w:iCs/>
                <w:color w:val="000000"/>
                <w:sz w:val="20"/>
                <w:szCs w:val="20"/>
                <w:lang w:val="en-US"/>
              </w:rPr>
              <w:t>0</w:t>
            </w:r>
          </w:p>
        </w:tc>
        <w:tc>
          <w:tcPr>
            <w:tcW w:w="981" w:type="dxa"/>
            <w:tcBorders>
              <w:top w:val="nil"/>
              <w:left w:val="nil"/>
              <w:bottom w:val="nil"/>
              <w:right w:val="nil"/>
            </w:tcBorders>
            <w:shd w:val="clear" w:color="auto" w:fill="auto"/>
            <w:vAlign w:val="bottom"/>
          </w:tcPr>
          <w:p w14:paraId="721A9E6B" w14:textId="05F40B34"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0.0009</w:t>
            </w:r>
          </w:p>
        </w:tc>
        <w:tc>
          <w:tcPr>
            <w:tcW w:w="981" w:type="dxa"/>
            <w:tcBorders>
              <w:top w:val="nil"/>
              <w:left w:val="nil"/>
              <w:bottom w:val="nil"/>
              <w:right w:val="nil"/>
            </w:tcBorders>
            <w:shd w:val="clear" w:color="auto" w:fill="auto"/>
            <w:vAlign w:val="bottom"/>
          </w:tcPr>
          <w:p w14:paraId="023C6ABB" w14:textId="7E5E78CB"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-0.0269</w:t>
            </w:r>
          </w:p>
        </w:tc>
        <w:tc>
          <w:tcPr>
            <w:tcW w:w="979" w:type="dxa"/>
            <w:tcBorders>
              <w:top w:val="nil"/>
              <w:left w:val="nil"/>
              <w:bottom w:val="nil"/>
              <w:right w:val="nil"/>
            </w:tcBorders>
            <w:shd w:val="clear" w:color="auto" w:fill="auto"/>
            <w:noWrap/>
            <w:vAlign w:val="bottom"/>
          </w:tcPr>
          <w:p w14:paraId="62D74526" w14:textId="094CF8B6"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-0.2324</w:t>
            </w:r>
          </w:p>
        </w:tc>
        <w:tc>
          <w:tcPr>
            <w:tcW w:w="981" w:type="dxa"/>
            <w:tcBorders>
              <w:top w:val="nil"/>
              <w:left w:val="nil"/>
              <w:bottom w:val="nil"/>
              <w:right w:val="nil"/>
            </w:tcBorders>
            <w:shd w:val="clear" w:color="auto" w:fill="auto"/>
            <w:noWrap/>
            <w:vAlign w:val="bottom"/>
          </w:tcPr>
          <w:p w14:paraId="7784AC01" w14:textId="68EE266C"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0.1173</w:t>
            </w:r>
          </w:p>
        </w:tc>
        <w:tc>
          <w:tcPr>
            <w:tcW w:w="981" w:type="dxa"/>
            <w:tcBorders>
              <w:top w:val="nil"/>
              <w:left w:val="nil"/>
              <w:bottom w:val="nil"/>
              <w:right w:val="nil"/>
            </w:tcBorders>
            <w:shd w:val="clear" w:color="auto" w:fill="auto"/>
            <w:noWrap/>
            <w:vAlign w:val="bottom"/>
          </w:tcPr>
          <w:p w14:paraId="37C7941B" w14:textId="1344E1F1"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0.0425</w:t>
            </w:r>
          </w:p>
        </w:tc>
        <w:tc>
          <w:tcPr>
            <w:tcW w:w="981" w:type="dxa"/>
            <w:tcBorders>
              <w:top w:val="nil"/>
              <w:left w:val="nil"/>
              <w:bottom w:val="nil"/>
              <w:right w:val="nil"/>
            </w:tcBorders>
            <w:shd w:val="clear" w:color="auto" w:fill="auto"/>
            <w:vAlign w:val="bottom"/>
          </w:tcPr>
          <w:p w14:paraId="7E899F74" w14:textId="549C92D2"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79" w:type="dxa"/>
            <w:tcBorders>
              <w:top w:val="nil"/>
              <w:left w:val="nil"/>
              <w:bottom w:val="nil"/>
              <w:right w:val="nil"/>
            </w:tcBorders>
            <w:shd w:val="clear" w:color="auto" w:fill="auto"/>
            <w:vAlign w:val="bottom"/>
          </w:tcPr>
          <w:p w14:paraId="00B7289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vAlign w:val="bottom"/>
          </w:tcPr>
          <w:p w14:paraId="0D9C0D3C"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83" w:type="dxa"/>
            <w:tcBorders>
              <w:top w:val="nil"/>
              <w:left w:val="nil"/>
              <w:bottom w:val="nil"/>
              <w:right w:val="nil"/>
            </w:tcBorders>
            <w:shd w:val="clear" w:color="auto" w:fill="auto"/>
            <w:vAlign w:val="bottom"/>
          </w:tcPr>
          <w:p w14:paraId="36B4600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40D40E5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22363D01"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179A1084"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4173465D" w14:textId="263AB66E"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CAPEX</w:t>
            </w:r>
          </w:p>
        </w:tc>
        <w:tc>
          <w:tcPr>
            <w:tcW w:w="979" w:type="dxa"/>
            <w:tcBorders>
              <w:top w:val="nil"/>
              <w:left w:val="nil"/>
              <w:bottom w:val="nil"/>
              <w:right w:val="nil"/>
            </w:tcBorders>
            <w:shd w:val="clear" w:color="auto" w:fill="auto"/>
            <w:noWrap/>
            <w:vAlign w:val="bottom"/>
          </w:tcPr>
          <w:p w14:paraId="7E5F3CDE" w14:textId="15B96BF1"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0.3478</w:t>
            </w:r>
          </w:p>
        </w:tc>
        <w:tc>
          <w:tcPr>
            <w:tcW w:w="981" w:type="dxa"/>
            <w:tcBorders>
              <w:top w:val="nil"/>
              <w:left w:val="nil"/>
              <w:bottom w:val="nil"/>
              <w:right w:val="nil"/>
            </w:tcBorders>
            <w:shd w:val="clear" w:color="auto" w:fill="auto"/>
            <w:vAlign w:val="bottom"/>
          </w:tcPr>
          <w:p w14:paraId="22494DD9" w14:textId="056EB460"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-0.0232</w:t>
            </w:r>
          </w:p>
        </w:tc>
        <w:tc>
          <w:tcPr>
            <w:tcW w:w="981" w:type="dxa"/>
            <w:tcBorders>
              <w:top w:val="nil"/>
              <w:left w:val="nil"/>
              <w:bottom w:val="nil"/>
              <w:right w:val="nil"/>
            </w:tcBorders>
            <w:shd w:val="clear" w:color="auto" w:fill="auto"/>
            <w:vAlign w:val="bottom"/>
          </w:tcPr>
          <w:p w14:paraId="713C3FEB" w14:textId="030A86B8"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0.0551</w:t>
            </w:r>
          </w:p>
        </w:tc>
        <w:tc>
          <w:tcPr>
            <w:tcW w:w="981" w:type="dxa"/>
            <w:tcBorders>
              <w:top w:val="nil"/>
              <w:left w:val="nil"/>
              <w:bottom w:val="nil"/>
              <w:right w:val="nil"/>
            </w:tcBorders>
            <w:shd w:val="clear" w:color="auto" w:fill="auto"/>
            <w:vAlign w:val="bottom"/>
          </w:tcPr>
          <w:p w14:paraId="2F6CFC27" w14:textId="45DEEB0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0.0224</w:t>
            </w:r>
          </w:p>
        </w:tc>
        <w:tc>
          <w:tcPr>
            <w:tcW w:w="979" w:type="dxa"/>
            <w:tcBorders>
              <w:top w:val="nil"/>
              <w:left w:val="nil"/>
              <w:bottom w:val="nil"/>
              <w:right w:val="nil"/>
            </w:tcBorders>
            <w:shd w:val="clear" w:color="auto" w:fill="auto"/>
            <w:noWrap/>
            <w:vAlign w:val="bottom"/>
          </w:tcPr>
          <w:p w14:paraId="03123FA9" w14:textId="13EB4F81"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-0.022</w:t>
            </w:r>
          </w:p>
        </w:tc>
        <w:tc>
          <w:tcPr>
            <w:tcW w:w="981" w:type="dxa"/>
            <w:tcBorders>
              <w:top w:val="nil"/>
              <w:left w:val="nil"/>
              <w:bottom w:val="nil"/>
              <w:right w:val="nil"/>
            </w:tcBorders>
            <w:shd w:val="clear" w:color="auto" w:fill="auto"/>
            <w:noWrap/>
            <w:vAlign w:val="bottom"/>
          </w:tcPr>
          <w:p w14:paraId="6E20E18D" w14:textId="4555B7D1"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0.9011</w:t>
            </w:r>
          </w:p>
        </w:tc>
        <w:tc>
          <w:tcPr>
            <w:tcW w:w="981" w:type="dxa"/>
            <w:tcBorders>
              <w:top w:val="nil"/>
              <w:left w:val="nil"/>
              <w:bottom w:val="nil"/>
              <w:right w:val="nil"/>
            </w:tcBorders>
            <w:shd w:val="clear" w:color="auto" w:fill="auto"/>
            <w:noWrap/>
            <w:vAlign w:val="bottom"/>
          </w:tcPr>
          <w:p w14:paraId="7E79D00A" w14:textId="0479B05C"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0.1968</w:t>
            </w:r>
          </w:p>
        </w:tc>
        <w:tc>
          <w:tcPr>
            <w:tcW w:w="981" w:type="dxa"/>
            <w:tcBorders>
              <w:top w:val="nil"/>
              <w:left w:val="nil"/>
              <w:bottom w:val="nil"/>
              <w:right w:val="nil"/>
            </w:tcBorders>
            <w:shd w:val="clear" w:color="auto" w:fill="auto"/>
            <w:vAlign w:val="bottom"/>
          </w:tcPr>
          <w:p w14:paraId="222EFD1B" w14:textId="4B6F6E52"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0.1075</w:t>
            </w:r>
          </w:p>
        </w:tc>
        <w:tc>
          <w:tcPr>
            <w:tcW w:w="979" w:type="dxa"/>
            <w:tcBorders>
              <w:top w:val="nil"/>
              <w:left w:val="nil"/>
              <w:bottom w:val="nil"/>
              <w:right w:val="nil"/>
            </w:tcBorders>
            <w:shd w:val="clear" w:color="auto" w:fill="auto"/>
            <w:vAlign w:val="bottom"/>
          </w:tcPr>
          <w:p w14:paraId="7FB0B6D1" w14:textId="0CE822C6"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vAlign w:val="bottom"/>
          </w:tcPr>
          <w:p w14:paraId="3962711A"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83" w:type="dxa"/>
            <w:tcBorders>
              <w:top w:val="nil"/>
              <w:left w:val="nil"/>
              <w:bottom w:val="nil"/>
              <w:right w:val="nil"/>
            </w:tcBorders>
            <w:shd w:val="clear" w:color="auto" w:fill="auto"/>
            <w:vAlign w:val="bottom"/>
          </w:tcPr>
          <w:p w14:paraId="1099D1FB"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7819545C"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7EC646E1"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735B9904"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0C78454A" w14:textId="1A57F55A"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CASH</w:t>
            </w:r>
          </w:p>
        </w:tc>
        <w:tc>
          <w:tcPr>
            <w:tcW w:w="979" w:type="dxa"/>
            <w:tcBorders>
              <w:top w:val="nil"/>
              <w:left w:val="nil"/>
              <w:bottom w:val="nil"/>
              <w:right w:val="nil"/>
            </w:tcBorders>
            <w:shd w:val="clear" w:color="auto" w:fill="auto"/>
            <w:noWrap/>
            <w:vAlign w:val="bottom"/>
          </w:tcPr>
          <w:p w14:paraId="7D06D73C" w14:textId="408AB762"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-0.1043</w:t>
            </w:r>
          </w:p>
        </w:tc>
        <w:tc>
          <w:tcPr>
            <w:tcW w:w="981" w:type="dxa"/>
            <w:tcBorders>
              <w:top w:val="nil"/>
              <w:left w:val="nil"/>
              <w:bottom w:val="nil"/>
              <w:right w:val="nil"/>
            </w:tcBorders>
            <w:shd w:val="clear" w:color="auto" w:fill="auto"/>
            <w:vAlign w:val="bottom"/>
          </w:tcPr>
          <w:p w14:paraId="54ACF432" w14:textId="24A9FFF2"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-0.0195</w:t>
            </w:r>
          </w:p>
        </w:tc>
        <w:tc>
          <w:tcPr>
            <w:tcW w:w="981" w:type="dxa"/>
            <w:tcBorders>
              <w:top w:val="nil"/>
              <w:left w:val="nil"/>
              <w:bottom w:val="nil"/>
              <w:right w:val="nil"/>
            </w:tcBorders>
            <w:shd w:val="clear" w:color="auto" w:fill="auto"/>
            <w:vAlign w:val="bottom"/>
          </w:tcPr>
          <w:p w14:paraId="0A21091F" w14:textId="28CCBC7C"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0.0317</w:t>
            </w:r>
          </w:p>
        </w:tc>
        <w:tc>
          <w:tcPr>
            <w:tcW w:w="981" w:type="dxa"/>
            <w:tcBorders>
              <w:top w:val="nil"/>
              <w:left w:val="nil"/>
              <w:bottom w:val="nil"/>
              <w:right w:val="nil"/>
            </w:tcBorders>
            <w:shd w:val="clear" w:color="auto" w:fill="auto"/>
            <w:vAlign w:val="bottom"/>
          </w:tcPr>
          <w:p w14:paraId="30678D68" w14:textId="5167A528"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0.0084</w:t>
            </w:r>
          </w:p>
        </w:tc>
        <w:tc>
          <w:tcPr>
            <w:tcW w:w="979" w:type="dxa"/>
            <w:tcBorders>
              <w:top w:val="nil"/>
              <w:left w:val="nil"/>
              <w:bottom w:val="nil"/>
              <w:right w:val="nil"/>
            </w:tcBorders>
            <w:shd w:val="clear" w:color="auto" w:fill="auto"/>
            <w:noWrap/>
            <w:vAlign w:val="bottom"/>
          </w:tcPr>
          <w:p w14:paraId="0FA88987" w14:textId="1037CDA5"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0.0055</w:t>
            </w:r>
          </w:p>
        </w:tc>
        <w:tc>
          <w:tcPr>
            <w:tcW w:w="981" w:type="dxa"/>
            <w:tcBorders>
              <w:top w:val="nil"/>
              <w:left w:val="nil"/>
              <w:bottom w:val="nil"/>
              <w:right w:val="nil"/>
            </w:tcBorders>
            <w:shd w:val="clear" w:color="auto" w:fill="auto"/>
            <w:noWrap/>
            <w:vAlign w:val="bottom"/>
          </w:tcPr>
          <w:p w14:paraId="4FB0C31A" w14:textId="47D8EBD0"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-0.2358</w:t>
            </w:r>
          </w:p>
        </w:tc>
        <w:tc>
          <w:tcPr>
            <w:tcW w:w="981" w:type="dxa"/>
            <w:tcBorders>
              <w:top w:val="nil"/>
              <w:left w:val="nil"/>
              <w:bottom w:val="nil"/>
              <w:right w:val="nil"/>
            </w:tcBorders>
            <w:shd w:val="clear" w:color="auto" w:fill="auto"/>
            <w:noWrap/>
            <w:vAlign w:val="bottom"/>
          </w:tcPr>
          <w:p w14:paraId="4B39AC17" w14:textId="67DB5F3B" w:rsidR="00123A86" w:rsidRPr="001578CB" w:rsidRDefault="00123A86" w:rsidP="00123A86">
            <w:pPr>
              <w:spacing w:after="0" w:line="240" w:lineRule="auto"/>
              <w:jc w:val="both"/>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-0.3835</w:t>
            </w:r>
          </w:p>
        </w:tc>
        <w:tc>
          <w:tcPr>
            <w:tcW w:w="981" w:type="dxa"/>
            <w:tcBorders>
              <w:top w:val="nil"/>
              <w:left w:val="nil"/>
              <w:bottom w:val="nil"/>
              <w:right w:val="nil"/>
            </w:tcBorders>
            <w:shd w:val="clear" w:color="auto" w:fill="auto"/>
            <w:vAlign w:val="bottom"/>
          </w:tcPr>
          <w:p w14:paraId="7E8BBA8E" w14:textId="65E13E03"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-0.086</w:t>
            </w:r>
          </w:p>
        </w:tc>
        <w:tc>
          <w:tcPr>
            <w:tcW w:w="979" w:type="dxa"/>
            <w:tcBorders>
              <w:top w:val="nil"/>
              <w:left w:val="nil"/>
              <w:bottom w:val="nil"/>
              <w:right w:val="nil"/>
            </w:tcBorders>
            <w:shd w:val="clear" w:color="auto" w:fill="auto"/>
            <w:vAlign w:val="bottom"/>
          </w:tcPr>
          <w:p w14:paraId="5180CF5F" w14:textId="0D14E24B"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-0.2083</w:t>
            </w:r>
          </w:p>
        </w:tc>
        <w:tc>
          <w:tcPr>
            <w:tcW w:w="981" w:type="dxa"/>
            <w:tcBorders>
              <w:top w:val="nil"/>
              <w:left w:val="nil"/>
              <w:bottom w:val="nil"/>
              <w:right w:val="nil"/>
            </w:tcBorders>
            <w:shd w:val="clear" w:color="auto" w:fill="auto"/>
            <w:vAlign w:val="bottom"/>
          </w:tcPr>
          <w:p w14:paraId="55A05E08" w14:textId="753A0B9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783" w:type="dxa"/>
            <w:tcBorders>
              <w:top w:val="nil"/>
              <w:left w:val="nil"/>
              <w:bottom w:val="nil"/>
              <w:right w:val="nil"/>
            </w:tcBorders>
            <w:shd w:val="clear" w:color="auto" w:fill="auto"/>
            <w:vAlign w:val="bottom"/>
          </w:tcPr>
          <w:p w14:paraId="04442FAD"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981" w:type="dxa"/>
            <w:tcBorders>
              <w:top w:val="nil"/>
              <w:left w:val="nil"/>
              <w:bottom w:val="nil"/>
              <w:right w:val="nil"/>
            </w:tcBorders>
            <w:shd w:val="clear" w:color="auto" w:fill="auto"/>
            <w:noWrap/>
            <w:vAlign w:val="bottom"/>
          </w:tcPr>
          <w:p w14:paraId="46E5C05C"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7711725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1C8CDACB" w14:textId="77777777" w:rsidTr="007C6120">
        <w:trPr>
          <w:gridAfter w:val="1"/>
          <w:wAfter w:w="12" w:type="dxa"/>
          <w:trHeight w:val="275"/>
        </w:trPr>
        <w:tc>
          <w:tcPr>
            <w:tcW w:w="1375" w:type="dxa"/>
            <w:tcBorders>
              <w:top w:val="nil"/>
              <w:left w:val="nil"/>
              <w:bottom w:val="nil"/>
              <w:right w:val="nil"/>
            </w:tcBorders>
            <w:shd w:val="clear" w:color="auto" w:fill="auto"/>
            <w:noWrap/>
            <w:vAlign w:val="center"/>
          </w:tcPr>
          <w:p w14:paraId="1C0A1794" w14:textId="6CE35881"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MTB</w:t>
            </w:r>
          </w:p>
        </w:tc>
        <w:tc>
          <w:tcPr>
            <w:tcW w:w="979" w:type="dxa"/>
            <w:tcBorders>
              <w:top w:val="nil"/>
              <w:left w:val="nil"/>
              <w:bottom w:val="nil"/>
              <w:right w:val="nil"/>
            </w:tcBorders>
            <w:shd w:val="clear" w:color="auto" w:fill="auto"/>
            <w:noWrap/>
            <w:vAlign w:val="bottom"/>
          </w:tcPr>
          <w:p w14:paraId="4A375C9C" w14:textId="4EDCAB54"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-0.3331</w:t>
            </w:r>
          </w:p>
        </w:tc>
        <w:tc>
          <w:tcPr>
            <w:tcW w:w="981" w:type="dxa"/>
            <w:tcBorders>
              <w:top w:val="nil"/>
              <w:left w:val="nil"/>
              <w:bottom w:val="nil"/>
              <w:right w:val="nil"/>
            </w:tcBorders>
            <w:shd w:val="clear" w:color="auto" w:fill="auto"/>
            <w:vAlign w:val="bottom"/>
          </w:tcPr>
          <w:p w14:paraId="21C15052" w14:textId="02A583F8"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-0.0593</w:t>
            </w:r>
          </w:p>
        </w:tc>
        <w:tc>
          <w:tcPr>
            <w:tcW w:w="981" w:type="dxa"/>
            <w:tcBorders>
              <w:top w:val="nil"/>
              <w:left w:val="nil"/>
              <w:bottom w:val="nil"/>
              <w:right w:val="nil"/>
            </w:tcBorders>
            <w:shd w:val="clear" w:color="auto" w:fill="auto"/>
            <w:vAlign w:val="bottom"/>
          </w:tcPr>
          <w:p w14:paraId="10333069" w14:textId="22C47B64"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-0.0315</w:t>
            </w:r>
          </w:p>
        </w:tc>
        <w:tc>
          <w:tcPr>
            <w:tcW w:w="981" w:type="dxa"/>
            <w:tcBorders>
              <w:top w:val="nil"/>
              <w:left w:val="nil"/>
              <w:bottom w:val="nil"/>
              <w:right w:val="nil"/>
            </w:tcBorders>
            <w:shd w:val="clear" w:color="auto" w:fill="auto"/>
            <w:vAlign w:val="bottom"/>
          </w:tcPr>
          <w:p w14:paraId="16D4DEB9" w14:textId="66BE6AF1"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-0.0653</w:t>
            </w:r>
          </w:p>
        </w:tc>
        <w:tc>
          <w:tcPr>
            <w:tcW w:w="979" w:type="dxa"/>
            <w:tcBorders>
              <w:top w:val="nil"/>
              <w:left w:val="nil"/>
              <w:bottom w:val="nil"/>
              <w:right w:val="nil"/>
            </w:tcBorders>
            <w:shd w:val="clear" w:color="auto" w:fill="auto"/>
            <w:noWrap/>
            <w:vAlign w:val="bottom"/>
          </w:tcPr>
          <w:p w14:paraId="7F7129FB" w14:textId="32199890"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-0.0371</w:t>
            </w:r>
          </w:p>
        </w:tc>
        <w:tc>
          <w:tcPr>
            <w:tcW w:w="981" w:type="dxa"/>
            <w:tcBorders>
              <w:top w:val="nil"/>
              <w:left w:val="nil"/>
              <w:bottom w:val="nil"/>
              <w:right w:val="nil"/>
            </w:tcBorders>
            <w:shd w:val="clear" w:color="auto" w:fill="auto"/>
            <w:noWrap/>
            <w:vAlign w:val="bottom"/>
          </w:tcPr>
          <w:p w14:paraId="33648D07" w14:textId="1AFE8D34"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-0.1795</w:t>
            </w:r>
          </w:p>
        </w:tc>
        <w:tc>
          <w:tcPr>
            <w:tcW w:w="981" w:type="dxa"/>
            <w:tcBorders>
              <w:top w:val="nil"/>
              <w:left w:val="nil"/>
              <w:bottom w:val="nil"/>
              <w:right w:val="nil"/>
            </w:tcBorders>
            <w:shd w:val="clear" w:color="auto" w:fill="auto"/>
            <w:noWrap/>
            <w:vAlign w:val="bottom"/>
          </w:tcPr>
          <w:p w14:paraId="33830F59" w14:textId="327BC2E8"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0.5683</w:t>
            </w:r>
          </w:p>
        </w:tc>
        <w:tc>
          <w:tcPr>
            <w:tcW w:w="981" w:type="dxa"/>
            <w:tcBorders>
              <w:top w:val="nil"/>
              <w:left w:val="nil"/>
              <w:bottom w:val="nil"/>
              <w:right w:val="nil"/>
            </w:tcBorders>
            <w:shd w:val="clear" w:color="auto" w:fill="auto"/>
            <w:vAlign w:val="bottom"/>
          </w:tcPr>
          <w:p w14:paraId="45F09FF3" w14:textId="50F10EE7"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0.0431</w:t>
            </w:r>
          </w:p>
        </w:tc>
        <w:tc>
          <w:tcPr>
            <w:tcW w:w="979" w:type="dxa"/>
            <w:tcBorders>
              <w:top w:val="nil"/>
              <w:left w:val="nil"/>
              <w:bottom w:val="nil"/>
              <w:right w:val="nil"/>
            </w:tcBorders>
            <w:shd w:val="clear" w:color="auto" w:fill="auto"/>
            <w:vAlign w:val="bottom"/>
          </w:tcPr>
          <w:p w14:paraId="3B350638" w14:textId="4AD59ED7"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-0.106</w:t>
            </w:r>
          </w:p>
        </w:tc>
        <w:tc>
          <w:tcPr>
            <w:tcW w:w="981" w:type="dxa"/>
            <w:tcBorders>
              <w:top w:val="nil"/>
              <w:left w:val="nil"/>
              <w:bottom w:val="nil"/>
              <w:right w:val="nil"/>
            </w:tcBorders>
            <w:shd w:val="clear" w:color="auto" w:fill="auto"/>
            <w:vAlign w:val="bottom"/>
          </w:tcPr>
          <w:p w14:paraId="7C3C5D1E" w14:textId="003B7FAB"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-0.1451</w:t>
            </w:r>
          </w:p>
        </w:tc>
        <w:tc>
          <w:tcPr>
            <w:tcW w:w="783" w:type="dxa"/>
            <w:tcBorders>
              <w:top w:val="nil"/>
              <w:left w:val="nil"/>
              <w:bottom w:val="nil"/>
              <w:right w:val="nil"/>
            </w:tcBorders>
            <w:shd w:val="clear" w:color="auto" w:fill="auto"/>
            <w:vAlign w:val="bottom"/>
          </w:tcPr>
          <w:p w14:paraId="32CD52BE" w14:textId="059D6345"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981" w:type="dxa"/>
            <w:tcBorders>
              <w:top w:val="nil"/>
              <w:left w:val="nil"/>
              <w:bottom w:val="nil"/>
              <w:right w:val="nil"/>
            </w:tcBorders>
            <w:shd w:val="clear" w:color="auto" w:fill="auto"/>
            <w:noWrap/>
            <w:vAlign w:val="bottom"/>
          </w:tcPr>
          <w:p w14:paraId="09EC0CD5"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c>
          <w:tcPr>
            <w:tcW w:w="791" w:type="dxa"/>
            <w:tcBorders>
              <w:top w:val="nil"/>
              <w:left w:val="nil"/>
              <w:bottom w:val="nil"/>
              <w:right w:val="nil"/>
            </w:tcBorders>
            <w:shd w:val="clear" w:color="auto" w:fill="auto"/>
            <w:noWrap/>
            <w:vAlign w:val="bottom"/>
          </w:tcPr>
          <w:p w14:paraId="3FB4F7A2"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3BCB0856" w14:textId="77777777" w:rsidTr="007C6120">
        <w:trPr>
          <w:gridAfter w:val="1"/>
          <w:wAfter w:w="12" w:type="dxa"/>
          <w:trHeight w:val="275"/>
        </w:trPr>
        <w:tc>
          <w:tcPr>
            <w:tcW w:w="1375" w:type="dxa"/>
            <w:tcBorders>
              <w:top w:val="nil"/>
              <w:left w:val="nil"/>
              <w:right w:val="nil"/>
            </w:tcBorders>
            <w:shd w:val="clear" w:color="auto" w:fill="auto"/>
            <w:noWrap/>
            <w:vAlign w:val="center"/>
            <w:hideMark/>
          </w:tcPr>
          <w:p w14:paraId="62B26886" w14:textId="63E70C9A"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GFC</w:t>
            </w:r>
          </w:p>
        </w:tc>
        <w:tc>
          <w:tcPr>
            <w:tcW w:w="979" w:type="dxa"/>
            <w:tcBorders>
              <w:top w:val="nil"/>
              <w:left w:val="nil"/>
              <w:right w:val="nil"/>
            </w:tcBorders>
            <w:shd w:val="clear" w:color="auto" w:fill="auto"/>
            <w:noWrap/>
            <w:vAlign w:val="bottom"/>
          </w:tcPr>
          <w:p w14:paraId="7160C128" w14:textId="01F5FEA0"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-0.0036</w:t>
            </w:r>
          </w:p>
        </w:tc>
        <w:tc>
          <w:tcPr>
            <w:tcW w:w="981" w:type="dxa"/>
            <w:tcBorders>
              <w:top w:val="nil"/>
              <w:left w:val="nil"/>
              <w:right w:val="nil"/>
            </w:tcBorders>
            <w:shd w:val="clear" w:color="auto" w:fill="auto"/>
            <w:vAlign w:val="bottom"/>
          </w:tcPr>
          <w:p w14:paraId="32CDC8C6" w14:textId="5535F695"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-0.0039</w:t>
            </w:r>
          </w:p>
        </w:tc>
        <w:tc>
          <w:tcPr>
            <w:tcW w:w="981" w:type="dxa"/>
            <w:tcBorders>
              <w:top w:val="nil"/>
              <w:left w:val="nil"/>
              <w:right w:val="nil"/>
            </w:tcBorders>
            <w:shd w:val="clear" w:color="auto" w:fill="auto"/>
            <w:vAlign w:val="bottom"/>
          </w:tcPr>
          <w:p w14:paraId="1B9C30FE" w14:textId="12419D7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0.0158</w:t>
            </w:r>
          </w:p>
        </w:tc>
        <w:tc>
          <w:tcPr>
            <w:tcW w:w="981" w:type="dxa"/>
            <w:tcBorders>
              <w:top w:val="nil"/>
              <w:left w:val="nil"/>
              <w:right w:val="nil"/>
            </w:tcBorders>
            <w:shd w:val="clear" w:color="auto" w:fill="auto"/>
            <w:vAlign w:val="bottom"/>
          </w:tcPr>
          <w:p w14:paraId="52104AAD" w14:textId="7A42F18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0.0084</w:t>
            </w:r>
          </w:p>
        </w:tc>
        <w:tc>
          <w:tcPr>
            <w:tcW w:w="979" w:type="dxa"/>
            <w:tcBorders>
              <w:top w:val="nil"/>
              <w:left w:val="nil"/>
              <w:right w:val="nil"/>
            </w:tcBorders>
            <w:shd w:val="clear" w:color="auto" w:fill="auto"/>
            <w:noWrap/>
            <w:vAlign w:val="bottom"/>
          </w:tcPr>
          <w:p w14:paraId="560DB6D9" w14:textId="75391904"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-0.0402</w:t>
            </w:r>
          </w:p>
        </w:tc>
        <w:tc>
          <w:tcPr>
            <w:tcW w:w="981" w:type="dxa"/>
            <w:tcBorders>
              <w:top w:val="nil"/>
              <w:left w:val="nil"/>
              <w:right w:val="nil"/>
            </w:tcBorders>
            <w:shd w:val="clear" w:color="auto" w:fill="auto"/>
            <w:noWrap/>
            <w:vAlign w:val="bottom"/>
          </w:tcPr>
          <w:p w14:paraId="672C812A" w14:textId="2A819F3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-0.0048</w:t>
            </w:r>
          </w:p>
        </w:tc>
        <w:tc>
          <w:tcPr>
            <w:tcW w:w="981" w:type="dxa"/>
            <w:tcBorders>
              <w:top w:val="nil"/>
              <w:left w:val="nil"/>
              <w:right w:val="nil"/>
            </w:tcBorders>
            <w:shd w:val="clear" w:color="auto" w:fill="auto"/>
            <w:noWrap/>
            <w:vAlign w:val="bottom"/>
          </w:tcPr>
          <w:p w14:paraId="31641C66" w14:textId="49C60F6B"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0.0235</w:t>
            </w:r>
          </w:p>
        </w:tc>
        <w:tc>
          <w:tcPr>
            <w:tcW w:w="981" w:type="dxa"/>
            <w:tcBorders>
              <w:top w:val="nil"/>
              <w:left w:val="nil"/>
              <w:right w:val="nil"/>
            </w:tcBorders>
            <w:shd w:val="clear" w:color="auto" w:fill="auto"/>
            <w:vAlign w:val="bottom"/>
          </w:tcPr>
          <w:p w14:paraId="68A23D5C" w14:textId="4E4A612C"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0.1079</w:t>
            </w:r>
          </w:p>
        </w:tc>
        <w:tc>
          <w:tcPr>
            <w:tcW w:w="979" w:type="dxa"/>
            <w:tcBorders>
              <w:top w:val="nil"/>
              <w:left w:val="nil"/>
              <w:right w:val="nil"/>
            </w:tcBorders>
            <w:shd w:val="clear" w:color="auto" w:fill="auto"/>
            <w:vAlign w:val="bottom"/>
          </w:tcPr>
          <w:p w14:paraId="3318D720" w14:textId="167EC501"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-0.0031</w:t>
            </w:r>
          </w:p>
        </w:tc>
        <w:tc>
          <w:tcPr>
            <w:tcW w:w="981" w:type="dxa"/>
            <w:tcBorders>
              <w:top w:val="nil"/>
              <w:left w:val="nil"/>
              <w:right w:val="nil"/>
            </w:tcBorders>
            <w:shd w:val="clear" w:color="auto" w:fill="auto"/>
            <w:vAlign w:val="bottom"/>
          </w:tcPr>
          <w:p w14:paraId="5B01C542" w14:textId="1858800C"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-0.0133</w:t>
            </w:r>
          </w:p>
        </w:tc>
        <w:tc>
          <w:tcPr>
            <w:tcW w:w="783" w:type="dxa"/>
            <w:tcBorders>
              <w:top w:val="nil"/>
              <w:left w:val="nil"/>
              <w:right w:val="nil"/>
            </w:tcBorders>
            <w:shd w:val="clear" w:color="auto" w:fill="auto"/>
            <w:vAlign w:val="bottom"/>
          </w:tcPr>
          <w:p w14:paraId="6DF95E9F" w14:textId="1635072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0.0057</w:t>
            </w:r>
          </w:p>
        </w:tc>
        <w:tc>
          <w:tcPr>
            <w:tcW w:w="981" w:type="dxa"/>
            <w:tcBorders>
              <w:top w:val="nil"/>
              <w:left w:val="nil"/>
              <w:right w:val="nil"/>
            </w:tcBorders>
            <w:shd w:val="clear" w:color="auto" w:fill="auto"/>
            <w:noWrap/>
            <w:vAlign w:val="bottom"/>
          </w:tcPr>
          <w:p w14:paraId="12AFFE50" w14:textId="0B6139B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c>
          <w:tcPr>
            <w:tcW w:w="791" w:type="dxa"/>
            <w:tcBorders>
              <w:top w:val="nil"/>
              <w:left w:val="nil"/>
              <w:right w:val="nil"/>
            </w:tcBorders>
            <w:shd w:val="clear" w:color="auto" w:fill="auto"/>
            <w:noWrap/>
            <w:vAlign w:val="bottom"/>
          </w:tcPr>
          <w:p w14:paraId="04BC02FB" w14:textId="77777777"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p>
        </w:tc>
      </w:tr>
      <w:tr w:rsidR="0019167A" w:rsidRPr="0019167A" w14:paraId="6B117506" w14:textId="77777777" w:rsidTr="007C6120">
        <w:trPr>
          <w:gridAfter w:val="1"/>
          <w:wAfter w:w="12" w:type="dxa"/>
          <w:trHeight w:val="275"/>
        </w:trPr>
        <w:tc>
          <w:tcPr>
            <w:tcW w:w="1375" w:type="dxa"/>
            <w:tcBorders>
              <w:top w:val="nil"/>
              <w:left w:val="nil"/>
              <w:bottom w:val="single" w:sz="4" w:space="0" w:color="auto"/>
              <w:right w:val="nil"/>
            </w:tcBorders>
            <w:shd w:val="clear" w:color="auto" w:fill="auto"/>
            <w:noWrap/>
            <w:vAlign w:val="center"/>
            <w:hideMark/>
          </w:tcPr>
          <w:p w14:paraId="770BAB13" w14:textId="77777777" w:rsidR="00123A86" w:rsidRPr="001578CB" w:rsidRDefault="00123A86" w:rsidP="00123A86">
            <w:pPr>
              <w:spacing w:after="0" w:line="240" w:lineRule="auto"/>
              <w:rPr>
                <w:rFonts w:ascii="Times New Roman" w:eastAsia="Times New Roman" w:hAnsi="Times New Roman" w:cs="Times New Roman"/>
                <w:i/>
                <w:iCs/>
                <w:color w:val="000000"/>
                <w:sz w:val="20"/>
                <w:szCs w:val="20"/>
                <w:lang w:eastAsia="en-NZ"/>
              </w:rPr>
            </w:pPr>
            <w:r w:rsidRPr="001578CB">
              <w:rPr>
                <w:rFonts w:ascii="Times New Roman" w:eastAsia="Times New Roman" w:hAnsi="Times New Roman" w:cs="Times New Roman"/>
                <w:i/>
                <w:iCs/>
                <w:color w:val="000000"/>
                <w:sz w:val="20"/>
                <w:szCs w:val="20"/>
                <w:lang w:val="en-US" w:eastAsia="en-NZ"/>
              </w:rPr>
              <w:t>GDP</w:t>
            </w:r>
          </w:p>
        </w:tc>
        <w:tc>
          <w:tcPr>
            <w:tcW w:w="979" w:type="dxa"/>
            <w:tcBorders>
              <w:top w:val="nil"/>
              <w:left w:val="nil"/>
              <w:bottom w:val="single" w:sz="4" w:space="0" w:color="auto"/>
              <w:right w:val="nil"/>
            </w:tcBorders>
            <w:shd w:val="clear" w:color="auto" w:fill="auto"/>
            <w:noWrap/>
            <w:vAlign w:val="bottom"/>
          </w:tcPr>
          <w:p w14:paraId="15AEDDF5" w14:textId="2BF0F32F"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0.0104</w:t>
            </w:r>
          </w:p>
        </w:tc>
        <w:tc>
          <w:tcPr>
            <w:tcW w:w="981" w:type="dxa"/>
            <w:tcBorders>
              <w:top w:val="nil"/>
              <w:left w:val="nil"/>
              <w:bottom w:val="single" w:sz="4" w:space="0" w:color="auto"/>
              <w:right w:val="nil"/>
            </w:tcBorders>
            <w:shd w:val="clear" w:color="auto" w:fill="auto"/>
            <w:vAlign w:val="bottom"/>
          </w:tcPr>
          <w:p w14:paraId="568DACF9" w14:textId="55AE1EA6"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0.012</w:t>
            </w:r>
          </w:p>
        </w:tc>
        <w:tc>
          <w:tcPr>
            <w:tcW w:w="981" w:type="dxa"/>
            <w:tcBorders>
              <w:top w:val="nil"/>
              <w:left w:val="nil"/>
              <w:bottom w:val="single" w:sz="4" w:space="0" w:color="auto"/>
              <w:right w:val="nil"/>
            </w:tcBorders>
            <w:shd w:val="clear" w:color="auto" w:fill="auto"/>
            <w:vAlign w:val="bottom"/>
          </w:tcPr>
          <w:p w14:paraId="1431A94C" w14:textId="13DAB893"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0.0212</w:t>
            </w:r>
          </w:p>
        </w:tc>
        <w:tc>
          <w:tcPr>
            <w:tcW w:w="981" w:type="dxa"/>
            <w:tcBorders>
              <w:top w:val="nil"/>
              <w:left w:val="nil"/>
              <w:bottom w:val="single" w:sz="4" w:space="0" w:color="auto"/>
              <w:right w:val="nil"/>
            </w:tcBorders>
            <w:shd w:val="clear" w:color="auto" w:fill="auto"/>
            <w:vAlign w:val="bottom"/>
          </w:tcPr>
          <w:p w14:paraId="50387E1C" w14:textId="48E792F4"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0.0237</w:t>
            </w:r>
          </w:p>
        </w:tc>
        <w:tc>
          <w:tcPr>
            <w:tcW w:w="979" w:type="dxa"/>
            <w:tcBorders>
              <w:top w:val="nil"/>
              <w:left w:val="nil"/>
              <w:bottom w:val="single" w:sz="4" w:space="0" w:color="auto"/>
              <w:right w:val="nil"/>
            </w:tcBorders>
            <w:shd w:val="clear" w:color="auto" w:fill="auto"/>
            <w:noWrap/>
            <w:vAlign w:val="bottom"/>
          </w:tcPr>
          <w:p w14:paraId="224AC62D" w14:textId="76FD7347"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-0.029</w:t>
            </w:r>
            <w:r w:rsidR="00E91050" w:rsidRPr="001578CB">
              <w:rPr>
                <w:rFonts w:ascii="Times New Roman" w:hAnsi="Times New Roman" w:cs="Times New Roman"/>
                <w:b/>
                <w:bCs/>
                <w:i/>
                <w:iCs/>
                <w:color w:val="000000"/>
                <w:sz w:val="20"/>
                <w:szCs w:val="20"/>
                <w:lang w:val="en-US"/>
              </w:rPr>
              <w:t>0</w:t>
            </w:r>
          </w:p>
        </w:tc>
        <w:tc>
          <w:tcPr>
            <w:tcW w:w="981" w:type="dxa"/>
            <w:tcBorders>
              <w:top w:val="nil"/>
              <w:left w:val="nil"/>
              <w:bottom w:val="single" w:sz="4" w:space="0" w:color="auto"/>
              <w:right w:val="nil"/>
            </w:tcBorders>
            <w:shd w:val="clear" w:color="auto" w:fill="auto"/>
            <w:noWrap/>
            <w:vAlign w:val="bottom"/>
          </w:tcPr>
          <w:p w14:paraId="29A16332" w14:textId="743C666C"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-0.0095</w:t>
            </w:r>
          </w:p>
        </w:tc>
        <w:tc>
          <w:tcPr>
            <w:tcW w:w="981" w:type="dxa"/>
            <w:tcBorders>
              <w:top w:val="nil"/>
              <w:left w:val="nil"/>
              <w:bottom w:val="single" w:sz="4" w:space="0" w:color="auto"/>
              <w:right w:val="nil"/>
            </w:tcBorders>
            <w:shd w:val="clear" w:color="auto" w:fill="auto"/>
            <w:noWrap/>
            <w:vAlign w:val="bottom"/>
          </w:tcPr>
          <w:p w14:paraId="2F674D81" w14:textId="4C32325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-0.0188</w:t>
            </w:r>
          </w:p>
        </w:tc>
        <w:tc>
          <w:tcPr>
            <w:tcW w:w="981" w:type="dxa"/>
            <w:tcBorders>
              <w:top w:val="nil"/>
              <w:left w:val="nil"/>
              <w:bottom w:val="single" w:sz="4" w:space="0" w:color="auto"/>
              <w:right w:val="nil"/>
            </w:tcBorders>
            <w:shd w:val="clear" w:color="auto" w:fill="auto"/>
            <w:vAlign w:val="bottom"/>
          </w:tcPr>
          <w:p w14:paraId="29152DA0" w14:textId="3CC25693" w:rsidR="00123A86" w:rsidRPr="001578CB" w:rsidRDefault="00123A86" w:rsidP="00123A86">
            <w:pPr>
              <w:spacing w:after="0" w:line="240" w:lineRule="auto"/>
              <w:rPr>
                <w:rFonts w:ascii="Times New Roman" w:eastAsia="Times New Roman" w:hAnsi="Times New Roman" w:cs="Times New Roman"/>
                <w:b/>
                <w:bCs/>
                <w:i/>
                <w:iCs/>
                <w:color w:val="000000"/>
                <w:sz w:val="20"/>
                <w:szCs w:val="20"/>
                <w:lang w:eastAsia="en-NZ"/>
              </w:rPr>
            </w:pPr>
            <w:r w:rsidRPr="001578CB">
              <w:rPr>
                <w:rFonts w:ascii="Times New Roman" w:hAnsi="Times New Roman" w:cs="Times New Roman"/>
                <w:b/>
                <w:bCs/>
                <w:i/>
                <w:iCs/>
                <w:color w:val="000000"/>
                <w:sz w:val="20"/>
                <w:szCs w:val="20"/>
              </w:rPr>
              <w:t>-0.0614</w:t>
            </w:r>
          </w:p>
        </w:tc>
        <w:tc>
          <w:tcPr>
            <w:tcW w:w="979" w:type="dxa"/>
            <w:tcBorders>
              <w:top w:val="nil"/>
              <w:left w:val="nil"/>
              <w:bottom w:val="single" w:sz="4" w:space="0" w:color="auto"/>
              <w:right w:val="nil"/>
            </w:tcBorders>
            <w:shd w:val="clear" w:color="auto" w:fill="auto"/>
            <w:vAlign w:val="bottom"/>
          </w:tcPr>
          <w:p w14:paraId="2C840BD9" w14:textId="068021DE"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0.0025</w:t>
            </w:r>
          </w:p>
        </w:tc>
        <w:tc>
          <w:tcPr>
            <w:tcW w:w="981" w:type="dxa"/>
            <w:tcBorders>
              <w:top w:val="nil"/>
              <w:left w:val="nil"/>
              <w:bottom w:val="single" w:sz="4" w:space="0" w:color="auto"/>
              <w:right w:val="nil"/>
            </w:tcBorders>
            <w:shd w:val="clear" w:color="auto" w:fill="auto"/>
            <w:vAlign w:val="bottom"/>
          </w:tcPr>
          <w:p w14:paraId="60C74A90" w14:textId="7C9FFAAA"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0.0005</w:t>
            </w:r>
          </w:p>
        </w:tc>
        <w:tc>
          <w:tcPr>
            <w:tcW w:w="783" w:type="dxa"/>
            <w:tcBorders>
              <w:top w:val="nil"/>
              <w:left w:val="nil"/>
              <w:bottom w:val="single" w:sz="4" w:space="0" w:color="auto"/>
              <w:right w:val="nil"/>
            </w:tcBorders>
            <w:shd w:val="clear" w:color="auto" w:fill="auto"/>
            <w:vAlign w:val="bottom"/>
          </w:tcPr>
          <w:p w14:paraId="58846222" w14:textId="206054BB"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0.002</w:t>
            </w:r>
          </w:p>
        </w:tc>
        <w:tc>
          <w:tcPr>
            <w:tcW w:w="981" w:type="dxa"/>
            <w:tcBorders>
              <w:top w:val="nil"/>
              <w:left w:val="nil"/>
              <w:bottom w:val="single" w:sz="4" w:space="0" w:color="auto"/>
              <w:right w:val="nil"/>
            </w:tcBorders>
            <w:shd w:val="clear" w:color="auto" w:fill="auto"/>
            <w:noWrap/>
            <w:vAlign w:val="bottom"/>
          </w:tcPr>
          <w:p w14:paraId="69B59ACD" w14:textId="2A9F3EE9"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-0.408</w:t>
            </w:r>
          </w:p>
        </w:tc>
        <w:tc>
          <w:tcPr>
            <w:tcW w:w="791" w:type="dxa"/>
            <w:tcBorders>
              <w:top w:val="nil"/>
              <w:left w:val="nil"/>
              <w:bottom w:val="single" w:sz="4" w:space="0" w:color="auto"/>
              <w:right w:val="nil"/>
            </w:tcBorders>
            <w:shd w:val="clear" w:color="auto" w:fill="auto"/>
            <w:noWrap/>
            <w:vAlign w:val="bottom"/>
          </w:tcPr>
          <w:p w14:paraId="77008C40" w14:textId="3A3D343B" w:rsidR="00123A86" w:rsidRPr="001578CB" w:rsidRDefault="00123A86" w:rsidP="00123A86">
            <w:pPr>
              <w:spacing w:after="0" w:line="240" w:lineRule="auto"/>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w:t>
            </w:r>
          </w:p>
        </w:tc>
      </w:tr>
    </w:tbl>
    <w:p w14:paraId="17C35819" w14:textId="6ED60201" w:rsidR="005E3506" w:rsidRPr="007D3C78" w:rsidRDefault="00876849" w:rsidP="003C62C1">
      <w:pPr>
        <w:spacing w:after="0" w:line="240" w:lineRule="auto"/>
        <w:jc w:val="both"/>
        <w:rPr>
          <w:rFonts w:ascii="Times New Roman" w:hAnsi="Times New Roman" w:cs="Times New Roman"/>
          <w:iCs/>
          <w:sz w:val="18"/>
          <w:szCs w:val="18"/>
        </w:rPr>
        <w:sectPr w:rsidR="005E3506" w:rsidRPr="007D3C78" w:rsidSect="001578CB">
          <w:pgSz w:w="16838" w:h="11906" w:orient="landscape"/>
          <w:pgMar w:top="1440" w:right="1440" w:bottom="1440" w:left="1440" w:header="709" w:footer="709" w:gutter="0"/>
          <w:cols w:space="708"/>
          <w:docGrid w:linePitch="360"/>
        </w:sectPr>
      </w:pPr>
      <w:r>
        <w:rPr>
          <w:rFonts w:ascii="Times New Roman" w:hAnsi="Times New Roman" w:cs="Times New Roman"/>
          <w:sz w:val="20"/>
          <w:szCs w:val="20"/>
        </w:rPr>
        <w:t xml:space="preserve">Note: </w:t>
      </w:r>
      <w:r w:rsidR="004700E8" w:rsidRPr="003A487B">
        <w:rPr>
          <w:rFonts w:ascii="Times New Roman" w:hAnsi="Times New Roman" w:cs="Times New Roman"/>
          <w:sz w:val="20"/>
          <w:szCs w:val="20"/>
        </w:rPr>
        <w:t xml:space="preserve">Bold and italicized </w:t>
      </w:r>
      <w:r w:rsidR="0069315F" w:rsidRPr="003A487B">
        <w:rPr>
          <w:rFonts w:ascii="Times New Roman" w:hAnsi="Times New Roman" w:cs="Times New Roman"/>
          <w:sz w:val="20"/>
          <w:szCs w:val="20"/>
        </w:rPr>
        <w:t>coefficients are s</w:t>
      </w:r>
      <w:r w:rsidR="005E3506" w:rsidRPr="003A487B">
        <w:rPr>
          <w:rFonts w:ascii="Times New Roman" w:hAnsi="Times New Roman" w:cs="Times New Roman"/>
          <w:sz w:val="20"/>
          <w:szCs w:val="20"/>
        </w:rPr>
        <w:t>ignifican</w:t>
      </w:r>
      <w:r w:rsidR="0032286F">
        <w:rPr>
          <w:rFonts w:ascii="Times New Roman" w:hAnsi="Times New Roman" w:cs="Times New Roman"/>
          <w:sz w:val="20"/>
          <w:szCs w:val="20"/>
        </w:rPr>
        <w:t>t</w:t>
      </w:r>
      <w:r w:rsidR="005E3506" w:rsidRPr="003A487B">
        <w:rPr>
          <w:rFonts w:ascii="Times New Roman" w:hAnsi="Times New Roman" w:cs="Times New Roman"/>
          <w:sz w:val="20"/>
          <w:szCs w:val="20"/>
        </w:rPr>
        <w:t xml:space="preserve"> at the 1%</w:t>
      </w:r>
      <w:r w:rsidR="0069315F" w:rsidRPr="003A487B">
        <w:rPr>
          <w:rFonts w:ascii="Times New Roman" w:hAnsi="Times New Roman" w:cs="Times New Roman"/>
          <w:sz w:val="20"/>
          <w:szCs w:val="20"/>
        </w:rPr>
        <w:t xml:space="preserve"> </w:t>
      </w:r>
      <w:r w:rsidR="005E3506" w:rsidRPr="003A487B">
        <w:rPr>
          <w:rFonts w:ascii="Times New Roman" w:hAnsi="Times New Roman" w:cs="Times New Roman"/>
          <w:sz w:val="20"/>
          <w:szCs w:val="20"/>
        </w:rPr>
        <w:t>level. All variables are defined in Appendix.</w:t>
      </w:r>
    </w:p>
    <w:tbl>
      <w:tblPr>
        <w:tblW w:w="9076" w:type="dxa"/>
        <w:tblCellMar>
          <w:left w:w="0" w:type="dxa"/>
          <w:right w:w="0" w:type="dxa"/>
        </w:tblCellMar>
        <w:tblLook w:val="04A0" w:firstRow="1" w:lastRow="0" w:firstColumn="1" w:lastColumn="0" w:noHBand="0" w:noVBand="1"/>
      </w:tblPr>
      <w:tblGrid>
        <w:gridCol w:w="3431"/>
        <w:gridCol w:w="1342"/>
        <w:gridCol w:w="1492"/>
        <w:gridCol w:w="1381"/>
        <w:gridCol w:w="1430"/>
      </w:tblGrid>
      <w:tr w:rsidR="00786B1E" w:rsidRPr="008D1DA7" w14:paraId="052DED9B" w14:textId="77777777" w:rsidTr="001578CB">
        <w:trPr>
          <w:trHeight w:val="250"/>
        </w:trPr>
        <w:tc>
          <w:tcPr>
            <w:tcW w:w="9076"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6BD3F2F" w14:textId="6275921E" w:rsidR="00786B1E" w:rsidRPr="003154FC" w:rsidRDefault="0042717E" w:rsidP="001578CB">
            <w:pPr>
              <w:spacing w:after="0" w:line="240" w:lineRule="auto"/>
              <w:rPr>
                <w:rFonts w:ascii="Times New Roman" w:hAnsi="Times New Roman" w:cs="Times New Roman"/>
                <w:color w:val="000000"/>
                <w:sz w:val="20"/>
                <w:szCs w:val="20"/>
              </w:rPr>
            </w:pPr>
            <w:r w:rsidRPr="002A6AF0">
              <w:rPr>
                <w:rFonts w:ascii="Times New Roman" w:eastAsia="Times New Roman" w:hAnsi="Times New Roman" w:cs="Times New Roman"/>
                <w:color w:val="000000"/>
                <w:sz w:val="20"/>
                <w:szCs w:val="20"/>
                <w:lang w:eastAsia="en-NZ"/>
              </w:rPr>
              <w:lastRenderedPageBreak/>
              <w:t xml:space="preserve">TABLE </w:t>
            </w:r>
            <w:r>
              <w:rPr>
                <w:rFonts w:ascii="Times New Roman" w:eastAsia="Times New Roman" w:hAnsi="Times New Roman" w:cs="Times New Roman"/>
                <w:color w:val="000000"/>
                <w:sz w:val="20"/>
                <w:szCs w:val="20"/>
                <w:lang w:eastAsia="en-NZ"/>
              </w:rPr>
              <w:t>6</w:t>
            </w:r>
            <w:r w:rsidRPr="002A6AF0">
              <w:rPr>
                <w:rFonts w:ascii="Times New Roman" w:eastAsia="Times New Roman" w:hAnsi="Times New Roman" w:cs="Times New Roman"/>
                <w:color w:val="000000"/>
                <w:sz w:val="20"/>
                <w:szCs w:val="20"/>
                <w:lang w:eastAsia="en-NZ"/>
              </w:rPr>
              <w:t>:</w:t>
            </w:r>
            <w:r>
              <w:rPr>
                <w:rFonts w:ascii="Times New Roman" w:eastAsia="Times New Roman" w:hAnsi="Times New Roman" w:cs="Times New Roman"/>
                <w:color w:val="000000"/>
                <w:sz w:val="20"/>
                <w:szCs w:val="20"/>
                <w:lang w:eastAsia="en-NZ"/>
              </w:rPr>
              <w:t xml:space="preserve"> </w:t>
            </w:r>
            <w:r w:rsidR="00624FB4" w:rsidRPr="002A6AF0">
              <w:rPr>
                <w:rFonts w:ascii="Times New Roman" w:hAnsi="Times New Roman" w:cs="Times New Roman"/>
                <w:color w:val="000000"/>
                <w:sz w:val="20"/>
                <w:szCs w:val="20"/>
              </w:rPr>
              <w:t>Earnings management, legal regime, and post-SEO performance</w:t>
            </w:r>
          </w:p>
        </w:tc>
      </w:tr>
      <w:tr w:rsidR="00786B1E" w:rsidRPr="008D1DA7" w14:paraId="0002D07A" w14:textId="77777777" w:rsidTr="001578CB">
        <w:trPr>
          <w:trHeight w:val="250"/>
        </w:trPr>
        <w:tc>
          <w:tcPr>
            <w:tcW w:w="343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37FFB5D" w14:textId="77777777" w:rsidR="00786B1E" w:rsidRPr="003154FC" w:rsidRDefault="00786B1E" w:rsidP="00786B1E">
            <w:pPr>
              <w:spacing w:after="0" w:line="240" w:lineRule="auto"/>
              <w:rPr>
                <w:rFonts w:ascii="Times New Roman" w:hAnsi="Times New Roman" w:cs="Times New Roman"/>
                <w:color w:val="000000"/>
                <w:sz w:val="20"/>
                <w:szCs w:val="20"/>
              </w:rPr>
            </w:pPr>
          </w:p>
        </w:tc>
        <w:tc>
          <w:tcPr>
            <w:tcW w:w="134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FDADC3A" w14:textId="0D3ABA5A" w:rsidR="00786B1E" w:rsidRPr="003154FC" w:rsidRDefault="00786B1E" w:rsidP="00786B1E">
            <w:pPr>
              <w:spacing w:after="0" w:line="240" w:lineRule="auto"/>
              <w:jc w:val="center"/>
              <w:rPr>
                <w:rFonts w:ascii="Times New Roman" w:hAnsi="Times New Roman" w:cs="Times New Roman"/>
                <w:color w:val="000000"/>
                <w:sz w:val="20"/>
                <w:szCs w:val="20"/>
              </w:rPr>
            </w:pPr>
            <w:r w:rsidRPr="002A6AF0">
              <w:rPr>
                <w:rFonts w:ascii="Times New Roman" w:hAnsi="Times New Roman" w:cs="Times New Roman"/>
                <w:color w:val="000000"/>
                <w:sz w:val="20"/>
                <w:szCs w:val="20"/>
              </w:rPr>
              <w:t>(1)</w:t>
            </w:r>
          </w:p>
        </w:tc>
        <w:tc>
          <w:tcPr>
            <w:tcW w:w="149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A3F74D0" w14:textId="24B732F6" w:rsidR="00786B1E" w:rsidRPr="003154FC" w:rsidRDefault="00786B1E" w:rsidP="00786B1E">
            <w:pPr>
              <w:spacing w:after="0" w:line="240" w:lineRule="auto"/>
              <w:jc w:val="center"/>
              <w:rPr>
                <w:rFonts w:ascii="Times New Roman" w:hAnsi="Times New Roman" w:cs="Times New Roman"/>
                <w:color w:val="000000"/>
                <w:sz w:val="20"/>
                <w:szCs w:val="20"/>
              </w:rPr>
            </w:pPr>
            <w:r w:rsidRPr="002A6AF0">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2A6AF0">
              <w:rPr>
                <w:rFonts w:ascii="Times New Roman" w:hAnsi="Times New Roman" w:cs="Times New Roman"/>
                <w:color w:val="000000"/>
                <w:sz w:val="20"/>
                <w:szCs w:val="20"/>
              </w:rPr>
              <w:t>)</w:t>
            </w:r>
          </w:p>
        </w:tc>
        <w:tc>
          <w:tcPr>
            <w:tcW w:w="138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F711DF1" w14:textId="6A431F2B" w:rsidR="00786B1E" w:rsidRPr="003154FC" w:rsidRDefault="00786B1E" w:rsidP="00786B1E">
            <w:pPr>
              <w:spacing w:after="0" w:line="240" w:lineRule="auto"/>
              <w:jc w:val="center"/>
              <w:rPr>
                <w:rFonts w:ascii="Times New Roman" w:hAnsi="Times New Roman" w:cs="Times New Roman"/>
                <w:color w:val="000000"/>
                <w:sz w:val="20"/>
                <w:szCs w:val="20"/>
              </w:rPr>
            </w:pPr>
            <w:r w:rsidRPr="002A6AF0">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2A6AF0">
              <w:rPr>
                <w:rFonts w:ascii="Times New Roman" w:hAnsi="Times New Roman" w:cs="Times New Roman"/>
                <w:color w:val="000000"/>
                <w:sz w:val="20"/>
                <w:szCs w:val="20"/>
              </w:rPr>
              <w:t>)</w:t>
            </w:r>
          </w:p>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19659E1" w14:textId="1B1D3025" w:rsidR="00786B1E" w:rsidRPr="003154FC" w:rsidRDefault="00786B1E" w:rsidP="00786B1E">
            <w:pPr>
              <w:spacing w:after="0" w:line="240" w:lineRule="auto"/>
              <w:jc w:val="center"/>
              <w:rPr>
                <w:rFonts w:ascii="Times New Roman" w:hAnsi="Times New Roman" w:cs="Times New Roman"/>
                <w:color w:val="000000"/>
                <w:sz w:val="20"/>
                <w:szCs w:val="20"/>
              </w:rPr>
            </w:pPr>
            <w:r w:rsidRPr="002A6AF0">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2A6AF0">
              <w:rPr>
                <w:rFonts w:ascii="Times New Roman" w:hAnsi="Times New Roman" w:cs="Times New Roman"/>
                <w:color w:val="000000"/>
                <w:sz w:val="20"/>
                <w:szCs w:val="20"/>
              </w:rPr>
              <w:t>)</w:t>
            </w:r>
          </w:p>
        </w:tc>
      </w:tr>
      <w:tr w:rsidR="00786B1E" w:rsidRPr="008D1DA7" w14:paraId="09C57483" w14:textId="77777777" w:rsidTr="001578CB">
        <w:trPr>
          <w:trHeight w:val="89"/>
        </w:trPr>
        <w:tc>
          <w:tcPr>
            <w:tcW w:w="34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09A2CCC"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Variables</w:t>
            </w:r>
          </w:p>
        </w:tc>
        <w:tc>
          <w:tcPr>
            <w:tcW w:w="13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B55EF5" w14:textId="1FB4D60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AEM</w:t>
            </w:r>
            <w:r w:rsidR="00DD60AE">
              <w:rPr>
                <w:rFonts w:ascii="Times New Roman" w:hAnsi="Times New Roman" w:cs="Times New Roman"/>
                <w:color w:val="000000"/>
                <w:sz w:val="20"/>
                <w:szCs w:val="20"/>
              </w:rPr>
              <w:t>&amp;</w:t>
            </w:r>
            <w:r w:rsidRPr="001578CB">
              <w:rPr>
                <w:rFonts w:ascii="Times New Roman" w:hAnsi="Times New Roman" w:cs="Times New Roman"/>
                <w:color w:val="000000"/>
                <w:sz w:val="20"/>
                <w:szCs w:val="20"/>
              </w:rPr>
              <w:t>RAM</w:t>
            </w:r>
          </w:p>
        </w:tc>
        <w:tc>
          <w:tcPr>
            <w:tcW w:w="149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B4CEECA" w14:textId="1282183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Sum (AEM</w:t>
            </w:r>
            <w:r w:rsidR="00DD60AE">
              <w:rPr>
                <w:rFonts w:ascii="Times New Roman" w:hAnsi="Times New Roman" w:cs="Times New Roman"/>
                <w:color w:val="000000"/>
                <w:sz w:val="20"/>
                <w:szCs w:val="20"/>
              </w:rPr>
              <w:t>&amp;</w:t>
            </w:r>
            <w:r w:rsidRPr="001578CB">
              <w:rPr>
                <w:rFonts w:ascii="Times New Roman" w:hAnsi="Times New Roman" w:cs="Times New Roman"/>
                <w:color w:val="000000"/>
                <w:sz w:val="20"/>
                <w:szCs w:val="20"/>
              </w:rPr>
              <w:t>RAM)</w:t>
            </w:r>
          </w:p>
        </w:tc>
        <w:tc>
          <w:tcPr>
            <w:tcW w:w="13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BBFCCE" w14:textId="3E71BCF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AEM</w:t>
            </w:r>
            <w:r w:rsidR="00DD60AE">
              <w:rPr>
                <w:rFonts w:ascii="Times New Roman" w:hAnsi="Times New Roman" w:cs="Times New Roman"/>
                <w:color w:val="000000"/>
                <w:sz w:val="20"/>
                <w:szCs w:val="20"/>
              </w:rPr>
              <w:t>&amp;</w:t>
            </w:r>
            <w:r w:rsidRPr="001578CB">
              <w:rPr>
                <w:rFonts w:ascii="Times New Roman" w:hAnsi="Times New Roman" w:cs="Times New Roman"/>
                <w:color w:val="000000"/>
                <w:sz w:val="20"/>
                <w:szCs w:val="20"/>
              </w:rPr>
              <w:t>RAM</w:t>
            </w:r>
          </w:p>
        </w:tc>
        <w:tc>
          <w:tcPr>
            <w:tcW w:w="143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2848C70" w14:textId="471677AA"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Sum (AEM</w:t>
            </w:r>
            <w:r w:rsidR="00DD60AE">
              <w:rPr>
                <w:rFonts w:ascii="Times New Roman" w:hAnsi="Times New Roman" w:cs="Times New Roman"/>
                <w:color w:val="000000"/>
                <w:sz w:val="20"/>
                <w:szCs w:val="20"/>
              </w:rPr>
              <w:t>&amp;</w:t>
            </w:r>
            <w:r w:rsidRPr="001578CB">
              <w:rPr>
                <w:rFonts w:ascii="Times New Roman" w:hAnsi="Times New Roman" w:cs="Times New Roman"/>
                <w:color w:val="000000"/>
                <w:sz w:val="20"/>
                <w:szCs w:val="20"/>
              </w:rPr>
              <w:t>RAM)</w:t>
            </w:r>
          </w:p>
        </w:tc>
      </w:tr>
      <w:tr w:rsidR="00786B1E" w:rsidRPr="008D1DA7" w14:paraId="4C006877"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7138547"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AEM</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2ECDDC5" w14:textId="23E0F9A9"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0.0282***</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EC0D1DB"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1E426FB3" w14:textId="22CCB7FE"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0.0349**</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75C6B82B"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69C142E7"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46B4877B"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16BE42E4" w14:textId="08D69E4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5.4843)</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2D83B5D"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4996A52E" w14:textId="22BB426C"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2.1174)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7C57E656"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1A3491D9"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63081B8"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RAM</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DED3599" w14:textId="2C825053"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0.1011***</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763BFBA"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493E3C76" w14:textId="04EFF717"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0.0588***</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3350EFAE"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43E0B33C"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DCBEB73"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3148EC4" w14:textId="1E504DC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19.3345)</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8DD1EC6"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AF8B178" w14:textId="04E6D645"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3.4908)</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0F2C195"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2A3C16AF"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1E48D7BF"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TAR</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6B8970C8" w14:textId="77777777" w:rsidR="00786B1E" w:rsidRPr="001578CB" w:rsidRDefault="00786B1E" w:rsidP="001578CB">
            <w:pPr>
              <w:spacing w:after="0" w:line="240" w:lineRule="auto"/>
              <w:rPr>
                <w:rFonts w:ascii="Times New Roman" w:hAnsi="Times New Roman" w:cs="Times New Roman"/>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0751A34" w14:textId="7F5D3366"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0.0646***</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09A22469"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4C1D7038" w14:textId="30201BB9"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0.0464***</w:t>
            </w:r>
          </w:p>
        </w:tc>
      </w:tr>
      <w:tr w:rsidR="00786B1E" w:rsidRPr="008D1DA7" w14:paraId="74F04B31"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5E3F050C"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32B19685" w14:textId="77777777" w:rsidR="00786B1E" w:rsidRPr="001578CB" w:rsidRDefault="00786B1E" w:rsidP="001578CB">
            <w:pPr>
              <w:spacing w:after="0" w:line="240" w:lineRule="auto"/>
              <w:rPr>
                <w:rFonts w:ascii="Times New Roman" w:hAnsi="Times New Roman" w:cs="Times New Roman"/>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2531B137" w14:textId="3589D8E0"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17.5389)</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04ABCC94"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964BCA9" w14:textId="4BDF2AB0"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FD2215">
              <w:rPr>
                <w:rFonts w:ascii="Times New Roman" w:hAnsi="Times New Roman" w:cs="Times New Roman"/>
                <w:color w:val="000000"/>
                <w:sz w:val="20"/>
                <w:szCs w:val="20"/>
              </w:rPr>
              <w:t>-</w:t>
            </w:r>
            <w:r w:rsidRPr="001578CB">
              <w:rPr>
                <w:rFonts w:ascii="Times New Roman" w:hAnsi="Times New Roman" w:cs="Times New Roman"/>
                <w:color w:val="000000"/>
                <w:sz w:val="20"/>
                <w:szCs w:val="20"/>
              </w:rPr>
              <w:t>4.2818)</w:t>
            </w:r>
          </w:p>
        </w:tc>
      </w:tr>
      <w:tr w:rsidR="00786B1E" w:rsidRPr="008D1DA7" w14:paraId="0BD7F0D8"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418186AB"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AEM*LAW</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21182F4E" w14:textId="77777777" w:rsidR="00786B1E" w:rsidRPr="001578CB" w:rsidRDefault="00786B1E" w:rsidP="001578CB">
            <w:pPr>
              <w:spacing w:after="0" w:line="240" w:lineRule="auto"/>
              <w:rPr>
                <w:rFonts w:ascii="Times New Roman" w:hAnsi="Times New Roman" w:cs="Times New Roman"/>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tcPr>
          <w:p w14:paraId="7CCB144E" w14:textId="6BAE6A80"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70735AD8" w14:textId="38F94DA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-0.0041</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4CF33256"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37CEE9C3"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63F5499"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69D7261" w14:textId="77777777" w:rsidR="00786B1E" w:rsidRPr="001578CB" w:rsidRDefault="00786B1E" w:rsidP="001578CB">
            <w:pPr>
              <w:spacing w:after="0" w:line="240" w:lineRule="auto"/>
              <w:rPr>
                <w:rFonts w:ascii="Times New Roman" w:hAnsi="Times New Roman" w:cs="Times New Roman"/>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78A177C2"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BDF87FD" w14:textId="050FD5C5"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(-0.4029)</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7B4D6450"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3210B125"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17EAA254"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RAM*LAW</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1F6224BE" w14:textId="77777777" w:rsidR="00786B1E" w:rsidRPr="001578CB" w:rsidRDefault="00786B1E" w:rsidP="001578CB">
            <w:pPr>
              <w:spacing w:after="0" w:line="240" w:lineRule="auto"/>
              <w:rPr>
                <w:rFonts w:ascii="Times New Roman" w:hAnsi="Times New Roman" w:cs="Times New Roman"/>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DB77837"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4CF74CC1" w14:textId="26B6CF4A"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0.0265***</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636C6D98"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33192B7E"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4568B474"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5CDFA214" w14:textId="77777777" w:rsidR="00786B1E" w:rsidRPr="001578CB" w:rsidRDefault="00786B1E" w:rsidP="001578CB">
            <w:pPr>
              <w:spacing w:after="0" w:line="240" w:lineRule="auto"/>
              <w:rPr>
                <w:rFonts w:ascii="Times New Roman" w:hAnsi="Times New Roman" w:cs="Times New Roman"/>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2D7E0CE3"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2ABB75F3" w14:textId="4E3B028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2.6104)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07519C16"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r>
      <w:tr w:rsidR="00786B1E" w:rsidRPr="008D1DA7" w14:paraId="12A36EA9"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7A6416F"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TAR*LAW</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0293628" w14:textId="77777777" w:rsidR="00786B1E" w:rsidRPr="001578CB" w:rsidRDefault="00786B1E" w:rsidP="001578CB">
            <w:pPr>
              <w:spacing w:after="0" w:line="240" w:lineRule="auto"/>
              <w:rPr>
                <w:rFonts w:ascii="Times New Roman" w:hAnsi="Times New Roman" w:cs="Times New Roman"/>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A75649E"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8B09D8C"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96640B2" w14:textId="78D9179A" w:rsidR="00786B1E" w:rsidRPr="001578CB" w:rsidRDefault="00786B1E" w:rsidP="001578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0.0115*</w:t>
            </w:r>
          </w:p>
        </w:tc>
      </w:tr>
      <w:tr w:rsidR="00786B1E" w:rsidRPr="008D1DA7" w14:paraId="6EEBD727"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22D9173F"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D5D9B28" w14:textId="77777777" w:rsidR="00786B1E" w:rsidRPr="001578CB" w:rsidRDefault="00786B1E" w:rsidP="001578CB">
            <w:pPr>
              <w:spacing w:after="0" w:line="240" w:lineRule="auto"/>
              <w:rPr>
                <w:rFonts w:ascii="Times New Roman" w:hAnsi="Times New Roman" w:cs="Times New Roman"/>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72B3AB67"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73663C69"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0E7738F3" w14:textId="3B6B5E5D"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578CB">
              <w:rPr>
                <w:rFonts w:ascii="Times New Roman" w:hAnsi="Times New Roman" w:cs="Times New Roman"/>
                <w:color w:val="000000"/>
                <w:sz w:val="20"/>
                <w:szCs w:val="20"/>
              </w:rPr>
              <w:t>1.7545)</w:t>
            </w:r>
          </w:p>
        </w:tc>
      </w:tr>
      <w:tr w:rsidR="00786B1E" w:rsidRPr="008D1DA7" w14:paraId="1ECC6CBF"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8A9E5F5"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LAW</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58E7CC55" w14:textId="5469BA9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0.0646***</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4922029" w14:textId="1B0A3AF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0.0648***</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7B7D3FB3" w14:textId="58AB04C5"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0.0535**</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4C858C1D" w14:textId="6A1AB01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0.0540**</w:t>
            </w:r>
          </w:p>
        </w:tc>
      </w:tr>
      <w:tr w:rsidR="00786B1E" w:rsidRPr="008D1DA7" w14:paraId="76AF349C"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2374AE1C"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E483007" w14:textId="1CA9758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(3.1698)</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12865279" w14:textId="692417EA"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(3.1626)</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EF77F96" w14:textId="36EBFFC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(2.4842)</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29EC59E" w14:textId="12ABDD56"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(2.4921)</w:t>
            </w:r>
          </w:p>
        </w:tc>
      </w:tr>
      <w:tr w:rsidR="00786B1E" w:rsidRPr="008D1DA7" w14:paraId="0746BC0A"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A824673"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SIZE</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32D57455" w14:textId="376EB279"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0.0042***</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4A6A283C" w14:textId="173C97B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0.0037***</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32DB56A" w14:textId="066493D3"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0.0041***</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22A232A" w14:textId="3DEC5FA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0.0037***</w:t>
            </w:r>
          </w:p>
        </w:tc>
      </w:tr>
      <w:tr w:rsidR="00786B1E" w:rsidRPr="008D1DA7" w14:paraId="4314E6F0"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FA877D7"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3D0A5364" w14:textId="3CB93B8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(3.6356)</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BEF337B" w14:textId="45B545FA"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(3.1889)</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1BFAD801" w14:textId="0433E31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(3.5776)</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B0E9909" w14:textId="3B492FD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(3.1795)</w:t>
            </w:r>
          </w:p>
        </w:tc>
      </w:tr>
      <w:tr w:rsidR="00786B1E" w:rsidRPr="008D1DA7" w14:paraId="7BE1A727"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13EC5B35"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LEV</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6D73C7CF" w14:textId="07E99ED3"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-0.0205*</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299948B" w14:textId="3F7B5905"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-0.0310***</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32E8920A" w14:textId="1985E52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-0.0205*</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9495DA4" w14:textId="25D2D90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-0.0311***</w:t>
            </w:r>
          </w:p>
        </w:tc>
      </w:tr>
      <w:tr w:rsidR="00786B1E" w:rsidRPr="008D1DA7" w14:paraId="5E7B2DF9"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1AD68851"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33385CB9" w14:textId="730A60AD"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(-1.8337)</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76401BBA" w14:textId="3AE3AC3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(-2.7643)</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8FD6F4C" w14:textId="131B49A0"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(-1.8327)</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83F6E0F" w14:textId="15B571E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(-2.7710)</w:t>
            </w:r>
          </w:p>
        </w:tc>
      </w:tr>
      <w:tr w:rsidR="00786B1E" w:rsidRPr="008D1DA7" w14:paraId="0273804E"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69F9E7F"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AGE</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24903D57" w14:textId="706FF26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-0.0013</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7AB7E5AF" w14:textId="2E454DC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-0.0009</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461D318D" w14:textId="06D00619"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-0.0012</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C544D61" w14:textId="703427A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-0.0008</w:t>
            </w:r>
          </w:p>
        </w:tc>
      </w:tr>
      <w:tr w:rsidR="00786B1E" w:rsidRPr="008D1DA7" w14:paraId="5EFEAA1F"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240DDB6C"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2A782B9" w14:textId="7C21E18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(-0.5836)</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7AEC903F" w14:textId="400DBD6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(-0.3932)</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0AB8571" w14:textId="5CEAAC8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(-0.5226)</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8B47624" w14:textId="22D9A57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(-0.3444)</w:t>
            </w:r>
          </w:p>
        </w:tc>
      </w:tr>
      <w:tr w:rsidR="00786B1E" w:rsidRPr="008D1DA7" w14:paraId="7CA5A8AD"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AD15435"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CAPEX</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B985323" w14:textId="0DEA161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0.0064***</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109494C3" w14:textId="332D0B2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0.0071***</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5FFB14F" w14:textId="4DAA353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0.0064***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7AD5E434" w14:textId="6EE8C319"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0.0071***</w:t>
            </w:r>
          </w:p>
        </w:tc>
      </w:tr>
      <w:tr w:rsidR="00786B1E" w:rsidRPr="008D1DA7" w14:paraId="45E8C189"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A44E7DC"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07FDC3B" w14:textId="02797FC5"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(6.4202)</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88152ED" w14:textId="22D893A0"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(7.0782)</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29D8614" w14:textId="56E7DF70"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(6.4410)</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6D6B6B11" w14:textId="20CAF27C"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(7.0744)</w:t>
            </w:r>
          </w:p>
        </w:tc>
      </w:tr>
      <w:tr w:rsidR="00786B1E" w:rsidRPr="008D1DA7" w14:paraId="68A7831A"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0D556C68"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CASH</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212C77C6" w14:textId="1EFC394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-0.0548***</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CE6735F" w14:textId="12D969F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-0.0514***</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F733929" w14:textId="1D72615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-0.0553***</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E249009" w14:textId="51D2E4FC"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-0.0516***</w:t>
            </w:r>
          </w:p>
        </w:tc>
      </w:tr>
      <w:tr w:rsidR="00786B1E" w:rsidRPr="008D1DA7" w14:paraId="283DB8D4"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D5D70BB"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04BAB28B" w14:textId="104804DC"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(-4.9262)</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4AD16A79" w14:textId="34731DA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(-4.5095)</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7F0F04C2" w14:textId="189C7AC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(-4.9751)</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0EBC7D3C" w14:textId="4B57981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(-4.5280)</w:t>
            </w:r>
          </w:p>
        </w:tc>
      </w:tr>
      <w:tr w:rsidR="00786B1E" w:rsidRPr="008D1DA7" w14:paraId="32C65EBA"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2E854FC"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MTB</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06113BB1" w14:textId="3130C3E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-0.1222***</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49560A3A" w14:textId="5B5A6816"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-0.1172***</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3526B00A" w14:textId="657D458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-0.1227***</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C823121" w14:textId="48109C2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-0.1175***</w:t>
            </w:r>
          </w:p>
        </w:tc>
      </w:tr>
      <w:tr w:rsidR="00786B1E" w:rsidRPr="008D1DA7" w14:paraId="5A14C2CE"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F2CC4E2"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389FE98" w14:textId="56DB746D"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(-13.9558)</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09BB8F2" w14:textId="5F9175FC"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(-13.2717)</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133CA38" w14:textId="72686B4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(-14.0086)</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6203A09C" w14:textId="7901F76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(-13.3026)</w:t>
            </w:r>
          </w:p>
        </w:tc>
      </w:tr>
      <w:tr w:rsidR="00786B1E" w:rsidRPr="008D1DA7" w14:paraId="6CCB1A2E"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98230A6"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GFC</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2914C03" w14:textId="70597AF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-0.0186**</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24D9EB82" w14:textId="4A9BA070"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-0.0179**</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3E8DCB0" w14:textId="7DE1EA6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-0.0185**</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01A7BAC" w14:textId="48CBEE8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-0.0179**</w:t>
            </w:r>
          </w:p>
        </w:tc>
      </w:tr>
      <w:tr w:rsidR="00786B1E" w:rsidRPr="008D1DA7" w14:paraId="352168B5"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46B85185"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281C2A11" w14:textId="0520BFC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(-2.1207)</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75B9976" w14:textId="4F3C780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(-2.0025)</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CC249BE" w14:textId="0903E279"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(-2.1084)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7908229" w14:textId="0C3B251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(-2.0075)</w:t>
            </w:r>
          </w:p>
        </w:tc>
      </w:tr>
      <w:tr w:rsidR="00786B1E" w:rsidRPr="008D1DA7" w14:paraId="038087FA"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5DBAAA37"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GDP</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5D20DE3D" w14:textId="7F8B8EA6"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0.0001</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3D58044E" w14:textId="11E546C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0.0001</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3A1B43EA" w14:textId="7F8EBE11"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0.0001</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4EAF69B" w14:textId="6924006D"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0.0001</w:t>
            </w:r>
          </w:p>
        </w:tc>
      </w:tr>
      <w:tr w:rsidR="00786B1E" w:rsidRPr="008D1DA7" w14:paraId="1EDABCB3"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4ED2F00"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A310125" w14:textId="0FD46C0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(0.1355)</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91214CB" w14:textId="176DCD4A"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(0.1568)</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1ACCC8A2" w14:textId="053DEBA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(0.1830)</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667FC8E9" w14:textId="1F4D34E3"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(0.1983)</w:t>
            </w:r>
          </w:p>
        </w:tc>
      </w:tr>
      <w:tr w:rsidR="00786B1E" w:rsidRPr="008D1DA7" w14:paraId="429A4271"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4885E217"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Constant</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533F55A2" w14:textId="013A7A2B"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-0.1065***</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7934A4D" w14:textId="22FD5819"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-0.1075***</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F9AEEF8" w14:textId="7620610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-0.0891**</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7F1CC111" w14:textId="06ED877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-0.0907**</w:t>
            </w:r>
          </w:p>
        </w:tc>
      </w:tr>
      <w:tr w:rsidR="00786B1E" w:rsidRPr="008D1DA7" w14:paraId="6D8DE1A8"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2F3B63A"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AA2AC5B" w14:textId="4C46E43C"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(-2.7797)</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9BD37C9" w14:textId="3D4E600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(-2.7846)</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1B9CA6E6" w14:textId="036813EE"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(-2.2454)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9BA5E1B" w14:textId="5086DEED"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(-2.2694)</w:t>
            </w:r>
          </w:p>
        </w:tc>
      </w:tr>
      <w:tr w:rsidR="00786B1E" w:rsidRPr="008D1DA7" w14:paraId="7F6A999C"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7716E463"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RAM-AEM</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44449BA2" w14:textId="17560C2D" w:rsidR="00786B1E" w:rsidRPr="001578CB" w:rsidRDefault="00786B1E" w:rsidP="001578CB">
            <w:pPr>
              <w:spacing w:after="0" w:line="240" w:lineRule="auto"/>
              <w:jc w:val="center"/>
              <w:rPr>
                <w:rFonts w:ascii="Times New Roman" w:hAnsi="Times New Roman" w:cs="Times New Roman"/>
                <w:color w:val="000000"/>
                <w:sz w:val="20"/>
                <w:szCs w:val="20"/>
              </w:rPr>
            </w:pPr>
            <w:r w:rsidRPr="008D1DA7">
              <w:rPr>
                <w:rFonts w:ascii="Times New Roman" w:hAnsi="Times New Roman" w:cs="Times New Roman"/>
                <w:color w:val="000000"/>
                <w:sz w:val="20"/>
                <w:szCs w:val="20"/>
              </w:rPr>
              <w:t>-0.07</w:t>
            </w:r>
            <w:r>
              <w:rPr>
                <w:rFonts w:ascii="Times New Roman" w:hAnsi="Times New Roman" w:cs="Times New Roman"/>
                <w:color w:val="000000"/>
                <w:sz w:val="20"/>
                <w:szCs w:val="20"/>
              </w:rPr>
              <w:t>29</w:t>
            </w:r>
            <w:r w:rsidRPr="008D1DA7">
              <w:rPr>
                <w:rFonts w:ascii="Times New Roman" w:hAnsi="Times New Roman" w:cs="Times New Roman"/>
                <w:color w:val="000000"/>
                <w:sz w:val="20"/>
                <w:szCs w:val="20"/>
              </w:rPr>
              <w:t>***</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D1B88B7"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D23A36B" w14:textId="2758DF26" w:rsidR="00786B1E" w:rsidRPr="001578CB" w:rsidRDefault="00786B1E" w:rsidP="001578CB">
            <w:pPr>
              <w:spacing w:after="0" w:line="240" w:lineRule="auto"/>
              <w:jc w:val="center"/>
              <w:rPr>
                <w:rFonts w:ascii="Times New Roman" w:hAnsi="Times New Roman" w:cs="Times New Roman"/>
                <w:sz w:val="20"/>
                <w:szCs w:val="20"/>
              </w:rPr>
            </w:pPr>
            <w:r w:rsidRPr="008D1DA7">
              <w:rPr>
                <w:rFonts w:ascii="Times New Roman" w:hAnsi="Times New Roman" w:cs="Times New Roman"/>
                <w:sz w:val="20"/>
                <w:szCs w:val="20"/>
              </w:rPr>
              <w:t>-0.02</w:t>
            </w:r>
            <w:r>
              <w:rPr>
                <w:rFonts w:ascii="Times New Roman" w:hAnsi="Times New Roman" w:cs="Times New Roman"/>
                <w:sz w:val="20"/>
                <w:szCs w:val="20"/>
              </w:rPr>
              <w:t>39</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4FCE3B63" w14:textId="77777777" w:rsidR="00786B1E" w:rsidRPr="001578CB" w:rsidRDefault="00786B1E" w:rsidP="001578CB">
            <w:pPr>
              <w:spacing w:after="0" w:line="240" w:lineRule="auto"/>
              <w:jc w:val="center"/>
              <w:rPr>
                <w:rFonts w:ascii="Times New Roman" w:hAnsi="Times New Roman" w:cs="Times New Roman"/>
                <w:sz w:val="20"/>
                <w:szCs w:val="20"/>
              </w:rPr>
            </w:pPr>
          </w:p>
        </w:tc>
      </w:tr>
      <w:tr w:rsidR="00786B1E" w:rsidRPr="008D1DA7" w14:paraId="07084784"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793E53E" w14:textId="77777777" w:rsidR="00786B1E" w:rsidRPr="001578CB" w:rsidRDefault="00786B1E" w:rsidP="001578CB">
            <w:pPr>
              <w:spacing w:after="0" w:line="240" w:lineRule="auto"/>
              <w:rPr>
                <w:rFonts w:ascii="Times New Roman" w:hAnsi="Times New Roman" w:cs="Times New Roman"/>
                <w:i/>
                <w:iCs/>
                <w:color w:val="000000"/>
                <w:sz w:val="20"/>
                <w:szCs w:val="20"/>
              </w:rPr>
            </w:pPr>
            <w:r w:rsidRPr="001578CB">
              <w:rPr>
                <w:rFonts w:ascii="Times New Roman" w:hAnsi="Times New Roman" w:cs="Times New Roman"/>
                <w:i/>
                <w:iCs/>
                <w:color w:val="000000"/>
                <w:sz w:val="20"/>
                <w:szCs w:val="20"/>
              </w:rPr>
              <w:t>(F-statistics)</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3FCE40D5" w14:textId="2DF4260B" w:rsidR="00786B1E" w:rsidRPr="001578CB" w:rsidRDefault="00786B1E" w:rsidP="001578CB">
            <w:pPr>
              <w:spacing w:after="0" w:line="240" w:lineRule="auto"/>
              <w:jc w:val="center"/>
              <w:rPr>
                <w:rFonts w:ascii="Times New Roman" w:hAnsi="Times New Roman" w:cs="Times New Roman"/>
                <w:color w:val="000000"/>
                <w:sz w:val="20"/>
                <w:szCs w:val="20"/>
              </w:rPr>
            </w:pPr>
            <w:r w:rsidRPr="008D1DA7">
              <w:rPr>
                <w:rFonts w:ascii="Times New Roman" w:hAnsi="Times New Roman" w:cs="Times New Roman"/>
                <w:color w:val="000000"/>
                <w:sz w:val="20"/>
                <w:szCs w:val="20"/>
              </w:rPr>
              <w:t>[</w:t>
            </w:r>
            <w:r>
              <w:rPr>
                <w:rFonts w:ascii="Times New Roman" w:hAnsi="Times New Roman" w:cs="Times New Roman"/>
                <w:color w:val="000000"/>
                <w:sz w:val="20"/>
                <w:szCs w:val="20"/>
              </w:rPr>
              <w:t>99.38</w:t>
            </w:r>
            <w:r w:rsidRPr="008D1DA7">
              <w:rPr>
                <w:rFonts w:ascii="Times New Roman" w:hAnsi="Times New Roman" w:cs="Times New Roman"/>
                <w:color w:val="000000"/>
                <w:sz w:val="20"/>
                <w:szCs w:val="20"/>
              </w:rPr>
              <w:t>]</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3DE0E5DA"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3619E785" w14:textId="6FAA04C7" w:rsidR="00786B1E" w:rsidRPr="001578CB" w:rsidRDefault="00786B1E" w:rsidP="001578CB">
            <w:pPr>
              <w:spacing w:after="0" w:line="240" w:lineRule="auto"/>
              <w:jc w:val="center"/>
              <w:rPr>
                <w:rFonts w:ascii="Times New Roman" w:hAnsi="Times New Roman" w:cs="Times New Roman"/>
                <w:sz w:val="20"/>
                <w:szCs w:val="20"/>
              </w:rPr>
            </w:pPr>
            <w:r w:rsidRPr="008D1DA7">
              <w:rPr>
                <w:rFonts w:ascii="Times New Roman" w:hAnsi="Times New Roman" w:cs="Times New Roman"/>
                <w:sz w:val="20"/>
                <w:szCs w:val="20"/>
              </w:rPr>
              <w:t>[</w:t>
            </w:r>
            <w:r>
              <w:rPr>
                <w:rFonts w:ascii="Times New Roman" w:hAnsi="Times New Roman" w:cs="Times New Roman"/>
                <w:sz w:val="20"/>
                <w:szCs w:val="20"/>
              </w:rPr>
              <w:t>0.88</w:t>
            </w:r>
            <w:r w:rsidRPr="008D1DA7">
              <w:rPr>
                <w:rFonts w:ascii="Times New Roman" w:hAnsi="Times New Roman" w:cs="Times New Roman"/>
                <w:sz w:val="20"/>
                <w:szCs w:val="20"/>
              </w:rPr>
              <w:t>]</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457323E1" w14:textId="77777777" w:rsidR="00786B1E" w:rsidRPr="001578CB" w:rsidRDefault="00786B1E" w:rsidP="001578CB">
            <w:pPr>
              <w:spacing w:after="0" w:line="240" w:lineRule="auto"/>
              <w:jc w:val="center"/>
              <w:rPr>
                <w:rFonts w:ascii="Times New Roman" w:hAnsi="Times New Roman" w:cs="Times New Roman"/>
                <w:sz w:val="20"/>
                <w:szCs w:val="20"/>
              </w:rPr>
            </w:pPr>
          </w:p>
        </w:tc>
      </w:tr>
      <w:tr w:rsidR="00786B1E" w:rsidRPr="008D1DA7" w14:paraId="24DDDF03"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3AC3857" w14:textId="5B376018"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RAM*LAW</w:t>
            </w:r>
            <w:r w:rsidRPr="008D1DA7">
              <w:rPr>
                <w:rFonts w:ascii="Times New Roman" w:eastAsia="Times New Roman" w:hAnsi="Times New Roman" w:cs="Times New Roman"/>
                <w:sz w:val="20"/>
                <w:szCs w:val="20"/>
                <w:lang w:eastAsia="en-NZ"/>
              </w:rPr>
              <w:t>-AEM*LAW</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60FA53F2" w14:textId="77777777" w:rsidR="00786B1E" w:rsidRPr="001578CB" w:rsidRDefault="00786B1E" w:rsidP="001578CB">
            <w:pPr>
              <w:spacing w:after="0" w:line="240" w:lineRule="auto"/>
              <w:jc w:val="center"/>
              <w:rPr>
                <w:rFonts w:ascii="Times New Roman" w:hAnsi="Times New Roman" w:cs="Times New Roman"/>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282FA5A1"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493CCE6E" w14:textId="2B9A4070" w:rsidR="00786B1E" w:rsidRPr="001578CB" w:rsidRDefault="00786B1E" w:rsidP="001578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-0.0224**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664AE8E2" w14:textId="77777777" w:rsidR="00786B1E" w:rsidRPr="001578CB" w:rsidRDefault="00786B1E" w:rsidP="001578CB">
            <w:pPr>
              <w:spacing w:after="0" w:line="240" w:lineRule="auto"/>
              <w:jc w:val="center"/>
              <w:rPr>
                <w:rFonts w:ascii="Times New Roman" w:hAnsi="Times New Roman" w:cs="Times New Roman"/>
                <w:sz w:val="20"/>
                <w:szCs w:val="20"/>
              </w:rPr>
            </w:pPr>
          </w:p>
        </w:tc>
      </w:tr>
      <w:tr w:rsidR="00786B1E" w:rsidRPr="008D1DA7" w14:paraId="70334556"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EC13ACC" w14:textId="77777777" w:rsidR="00786B1E" w:rsidRPr="001578CB" w:rsidRDefault="00786B1E" w:rsidP="001578CB">
            <w:pPr>
              <w:spacing w:after="0" w:line="240" w:lineRule="auto"/>
              <w:rPr>
                <w:rFonts w:ascii="Times New Roman" w:hAnsi="Times New Roman" w:cs="Times New Roman"/>
                <w:i/>
                <w:iCs/>
                <w:color w:val="000000"/>
                <w:sz w:val="20"/>
                <w:szCs w:val="20"/>
              </w:rPr>
            </w:pPr>
            <w:r w:rsidRPr="001578CB">
              <w:rPr>
                <w:rFonts w:ascii="Times New Roman" w:hAnsi="Times New Roman" w:cs="Times New Roman"/>
                <w:i/>
                <w:iCs/>
                <w:color w:val="000000"/>
                <w:sz w:val="20"/>
                <w:szCs w:val="20"/>
              </w:rPr>
              <w:t>(F-statistics)</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05F9939B" w14:textId="77777777" w:rsidR="00786B1E" w:rsidRPr="001578CB" w:rsidRDefault="00786B1E" w:rsidP="001578CB">
            <w:pPr>
              <w:spacing w:after="0" w:line="240" w:lineRule="auto"/>
              <w:jc w:val="center"/>
              <w:rPr>
                <w:rFonts w:ascii="Times New Roman" w:hAnsi="Times New Roman" w:cs="Times New Roman"/>
                <w:i/>
                <w:iCs/>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D7F6211"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5E2408CC" w14:textId="3D02C358" w:rsidR="00786B1E" w:rsidRPr="001578CB" w:rsidRDefault="00786B1E" w:rsidP="001578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[3.93]</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6B781B81" w14:textId="77777777" w:rsidR="00786B1E" w:rsidRPr="001578CB" w:rsidRDefault="00786B1E" w:rsidP="001578CB">
            <w:pPr>
              <w:spacing w:after="0" w:line="240" w:lineRule="auto"/>
              <w:jc w:val="center"/>
              <w:rPr>
                <w:rFonts w:ascii="Times New Roman" w:hAnsi="Times New Roman" w:cs="Times New Roman"/>
                <w:sz w:val="20"/>
                <w:szCs w:val="20"/>
              </w:rPr>
            </w:pPr>
          </w:p>
        </w:tc>
      </w:tr>
      <w:tr w:rsidR="00786B1E" w:rsidRPr="008D1DA7" w14:paraId="12E02F36" w14:textId="77777777" w:rsidTr="001578CB">
        <w:trPr>
          <w:trHeight w:val="250"/>
        </w:trPr>
        <w:tc>
          <w:tcPr>
            <w:tcW w:w="47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698B29" w14:textId="702E4477" w:rsidR="00786B1E" w:rsidRPr="001578CB" w:rsidRDefault="00786B1E" w:rsidP="001578CB">
            <w:pPr>
              <w:spacing w:after="0" w:line="240" w:lineRule="auto"/>
              <w:rPr>
                <w:rFonts w:ascii="Times New Roman" w:hAnsi="Times New Roman" w:cs="Times New Roman"/>
                <w:sz w:val="20"/>
                <w:szCs w:val="20"/>
              </w:rPr>
            </w:pPr>
            <w:r w:rsidRPr="008D1DA7">
              <w:rPr>
                <w:rFonts w:ascii="Times New Roman" w:hAnsi="Times New Roman" w:cs="Times New Roman"/>
                <w:color w:val="000000"/>
                <w:sz w:val="20"/>
                <w:szCs w:val="20"/>
              </w:rPr>
              <w:t>[RAM+RAM*LAW]-[AEM+AEM*LAW]</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2F3D5B97"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00D6221F" w14:textId="10AA9481" w:rsidR="00786B1E" w:rsidRPr="001578CB" w:rsidRDefault="00786B1E" w:rsidP="001578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-0.0463***</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1E316BD2" w14:textId="77777777" w:rsidR="00786B1E" w:rsidRPr="001578CB" w:rsidRDefault="00786B1E" w:rsidP="001578CB">
            <w:pPr>
              <w:spacing w:after="0" w:line="240" w:lineRule="auto"/>
              <w:jc w:val="center"/>
              <w:rPr>
                <w:rFonts w:ascii="Times New Roman" w:hAnsi="Times New Roman" w:cs="Times New Roman"/>
                <w:sz w:val="20"/>
                <w:szCs w:val="20"/>
              </w:rPr>
            </w:pPr>
          </w:p>
        </w:tc>
      </w:tr>
      <w:tr w:rsidR="00786B1E" w:rsidRPr="008D1DA7" w14:paraId="08C427F7"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3D7FF40C" w14:textId="77777777" w:rsidR="00786B1E" w:rsidRPr="001578CB" w:rsidRDefault="00786B1E" w:rsidP="001578CB">
            <w:pPr>
              <w:spacing w:after="0" w:line="240" w:lineRule="auto"/>
              <w:rPr>
                <w:rFonts w:ascii="Times New Roman" w:hAnsi="Times New Roman" w:cs="Times New Roman"/>
                <w:i/>
                <w:iCs/>
                <w:color w:val="000000"/>
                <w:sz w:val="20"/>
                <w:szCs w:val="20"/>
              </w:rPr>
            </w:pPr>
            <w:r w:rsidRPr="001578CB">
              <w:rPr>
                <w:rFonts w:ascii="Times New Roman" w:hAnsi="Times New Roman" w:cs="Times New Roman"/>
                <w:i/>
                <w:iCs/>
                <w:color w:val="000000"/>
                <w:sz w:val="20"/>
                <w:szCs w:val="20"/>
              </w:rPr>
              <w:t>(F-statistics)</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70C24A7F" w14:textId="77777777" w:rsidR="00786B1E" w:rsidRPr="001578CB" w:rsidRDefault="00786B1E" w:rsidP="001578CB">
            <w:pPr>
              <w:spacing w:after="0" w:line="240" w:lineRule="auto"/>
              <w:rPr>
                <w:rFonts w:ascii="Times New Roman" w:hAnsi="Times New Roman" w:cs="Times New Roman"/>
                <w:i/>
                <w:iCs/>
                <w:color w:val="000000"/>
                <w:sz w:val="20"/>
                <w:szCs w:val="20"/>
              </w:rPr>
            </w:pP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634F1DA1" w14:textId="77777777" w:rsidR="00786B1E" w:rsidRPr="001578CB" w:rsidRDefault="00786B1E" w:rsidP="001578CB">
            <w:pPr>
              <w:spacing w:after="0" w:line="240" w:lineRule="auto"/>
              <w:jc w:val="center"/>
              <w:rPr>
                <w:rFonts w:ascii="Times New Roman" w:hAnsi="Times New Roman" w:cs="Times New Roman"/>
                <w:sz w:val="20"/>
                <w:szCs w:val="20"/>
              </w:rPr>
            </w:pP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79BD9897" w14:textId="38A16A4F" w:rsidR="00786B1E" w:rsidRPr="001578CB" w:rsidRDefault="00786B1E" w:rsidP="001578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[22.15]</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352C4687" w14:textId="77777777" w:rsidR="00786B1E" w:rsidRPr="001578CB" w:rsidRDefault="00786B1E" w:rsidP="001578CB">
            <w:pPr>
              <w:spacing w:after="0" w:line="240" w:lineRule="auto"/>
              <w:jc w:val="center"/>
              <w:rPr>
                <w:rFonts w:ascii="Times New Roman" w:hAnsi="Times New Roman" w:cs="Times New Roman"/>
                <w:sz w:val="20"/>
                <w:szCs w:val="20"/>
              </w:rPr>
            </w:pPr>
          </w:p>
        </w:tc>
      </w:tr>
      <w:tr w:rsidR="00786B1E" w:rsidRPr="008D1DA7" w14:paraId="32BB0DEA"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683DF4C9"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Industry FE</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2BE4BCDB"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57B8C0EC"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28DC2856"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3696E4F5"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r>
      <w:tr w:rsidR="00786B1E" w:rsidRPr="008D1DA7" w14:paraId="6865640B"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44A5ADE3"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Year FE</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230CC64B"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2E59C940"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69DE992D"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78BC6DC0"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Yes</w:t>
            </w:r>
          </w:p>
        </w:tc>
      </w:tr>
      <w:tr w:rsidR="00786B1E" w:rsidRPr="008D1DA7" w14:paraId="6AA8A7F8" w14:textId="77777777" w:rsidTr="001578CB">
        <w:trPr>
          <w:trHeight w:val="250"/>
        </w:trPr>
        <w:tc>
          <w:tcPr>
            <w:tcW w:w="3431" w:type="dxa"/>
            <w:tcBorders>
              <w:top w:val="nil"/>
              <w:left w:val="nil"/>
              <w:bottom w:val="nil"/>
              <w:right w:val="nil"/>
            </w:tcBorders>
            <w:shd w:val="clear" w:color="auto" w:fill="auto"/>
            <w:noWrap/>
            <w:tcMar>
              <w:top w:w="15" w:type="dxa"/>
              <w:left w:w="15" w:type="dxa"/>
              <w:bottom w:w="0" w:type="dxa"/>
              <w:right w:w="15" w:type="dxa"/>
            </w:tcMar>
            <w:vAlign w:val="bottom"/>
            <w:hideMark/>
          </w:tcPr>
          <w:p w14:paraId="14BBE4EC"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Observations</w:t>
            </w:r>
          </w:p>
        </w:tc>
        <w:tc>
          <w:tcPr>
            <w:tcW w:w="1342" w:type="dxa"/>
            <w:tcBorders>
              <w:top w:val="nil"/>
              <w:left w:val="nil"/>
              <w:bottom w:val="nil"/>
              <w:right w:val="nil"/>
            </w:tcBorders>
            <w:shd w:val="clear" w:color="auto" w:fill="auto"/>
            <w:noWrap/>
            <w:tcMar>
              <w:top w:w="15" w:type="dxa"/>
              <w:left w:w="15" w:type="dxa"/>
              <w:bottom w:w="0" w:type="dxa"/>
              <w:right w:w="15" w:type="dxa"/>
            </w:tcMar>
            <w:vAlign w:val="bottom"/>
            <w:hideMark/>
          </w:tcPr>
          <w:p w14:paraId="0749ECEE"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11,764</w:t>
            </w:r>
          </w:p>
        </w:tc>
        <w:tc>
          <w:tcPr>
            <w:tcW w:w="1492" w:type="dxa"/>
            <w:tcBorders>
              <w:top w:val="nil"/>
              <w:left w:val="nil"/>
              <w:bottom w:val="nil"/>
              <w:right w:val="nil"/>
            </w:tcBorders>
            <w:shd w:val="clear" w:color="auto" w:fill="auto"/>
            <w:noWrap/>
            <w:tcMar>
              <w:top w:w="15" w:type="dxa"/>
              <w:left w:w="15" w:type="dxa"/>
              <w:bottom w:w="0" w:type="dxa"/>
              <w:right w:w="15" w:type="dxa"/>
            </w:tcMar>
            <w:vAlign w:val="bottom"/>
            <w:hideMark/>
          </w:tcPr>
          <w:p w14:paraId="0CB0FD04"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11,764</w:t>
            </w:r>
          </w:p>
        </w:tc>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14:paraId="4B57D0CA"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11,764</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hideMark/>
          </w:tcPr>
          <w:p w14:paraId="0EB35A2C" w14:textId="77777777"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11,764</w:t>
            </w:r>
          </w:p>
        </w:tc>
      </w:tr>
      <w:tr w:rsidR="00786B1E" w:rsidRPr="008D1DA7" w14:paraId="0EE56D84" w14:textId="77777777" w:rsidTr="001578CB">
        <w:trPr>
          <w:trHeight w:val="250"/>
        </w:trPr>
        <w:tc>
          <w:tcPr>
            <w:tcW w:w="34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40BC0B" w14:textId="77777777" w:rsidR="00786B1E" w:rsidRPr="001578CB" w:rsidRDefault="00786B1E" w:rsidP="001578CB">
            <w:pPr>
              <w:spacing w:after="0" w:line="240" w:lineRule="auto"/>
              <w:rPr>
                <w:rFonts w:ascii="Times New Roman" w:hAnsi="Times New Roman" w:cs="Times New Roman"/>
                <w:color w:val="000000"/>
                <w:sz w:val="20"/>
                <w:szCs w:val="20"/>
              </w:rPr>
            </w:pPr>
            <w:r w:rsidRPr="001578CB">
              <w:rPr>
                <w:rFonts w:ascii="Times New Roman" w:hAnsi="Times New Roman" w:cs="Times New Roman"/>
                <w:color w:val="000000"/>
                <w:sz w:val="20"/>
                <w:szCs w:val="20"/>
              </w:rPr>
              <w:t>Adj. R</w:t>
            </w:r>
            <w:r w:rsidRPr="001578CB">
              <w:rPr>
                <w:rFonts w:ascii="Times New Roman" w:hAnsi="Times New Roman" w:cs="Times New Roman"/>
                <w:color w:val="000000"/>
                <w:sz w:val="20"/>
                <w:szCs w:val="20"/>
                <w:vertAlign w:val="superscript"/>
              </w:rPr>
              <w:t>2</w:t>
            </w:r>
          </w:p>
        </w:tc>
        <w:tc>
          <w:tcPr>
            <w:tcW w:w="13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7AE1DD" w14:textId="403F563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0.2822</w:t>
            </w:r>
          </w:p>
        </w:tc>
        <w:tc>
          <w:tcPr>
            <w:tcW w:w="14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4331C0" w14:textId="0BC6AFF8"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0.2679</w:t>
            </w:r>
          </w:p>
        </w:tc>
        <w:tc>
          <w:tcPr>
            <w:tcW w:w="13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0F290B" w14:textId="795F51EF"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0.2829</w:t>
            </w:r>
          </w:p>
        </w:tc>
        <w:tc>
          <w:tcPr>
            <w:tcW w:w="14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013134" w14:textId="7C217744" w:rsidR="00786B1E" w:rsidRPr="001578CB" w:rsidRDefault="00786B1E" w:rsidP="001578CB">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0.2681</w:t>
            </w:r>
          </w:p>
        </w:tc>
      </w:tr>
    </w:tbl>
    <w:p w14:paraId="27B438CA" w14:textId="77777777" w:rsidR="006E577F" w:rsidRDefault="00CA60A9" w:rsidP="00D376D6">
      <w:pPr>
        <w:jc w:val="both"/>
        <w:rPr>
          <w:rFonts w:ascii="Times New Roman" w:hAnsi="Times New Roman" w:cs="Times New Roman"/>
          <w:sz w:val="20"/>
          <w:szCs w:val="20"/>
        </w:rPr>
        <w:sectPr w:rsidR="006E577F" w:rsidSect="001578CB">
          <w:footerReference w:type="default" r:id="rId13"/>
          <w:pgSz w:w="11906" w:h="16838"/>
          <w:pgMar w:top="1440" w:right="1440" w:bottom="1440" w:left="1440" w:header="708" w:footer="708" w:gutter="0"/>
          <w:cols w:space="708"/>
          <w:docGrid w:linePitch="360"/>
        </w:sectPr>
      </w:pPr>
      <w:r>
        <w:rPr>
          <w:rFonts w:ascii="Times New Roman" w:hAnsi="Times New Roman" w:cs="Times New Roman"/>
          <w:sz w:val="20"/>
          <w:szCs w:val="20"/>
        </w:rPr>
        <w:t xml:space="preserve">Note: This table reports results for earnings management, legal regime, and post-SEO performance. Columns (1) and (2) [(3) and (4)] present results of estimation of Equations (1) and (2) [(3) and (4)], respectively. </w:t>
      </w:r>
      <w:r w:rsidRPr="00AD688D">
        <w:rPr>
          <w:rFonts w:ascii="Times New Roman" w:hAnsi="Times New Roman" w:cs="Times New Roman"/>
          <w:sz w:val="20"/>
          <w:szCs w:val="20"/>
        </w:rPr>
        <w:t xml:space="preserve">Robust </w:t>
      </w:r>
      <w:r w:rsidRPr="001578CB">
        <w:rPr>
          <w:rFonts w:ascii="Times New Roman" w:hAnsi="Times New Roman" w:cs="Times New Roman"/>
          <w:i/>
          <w:iCs/>
          <w:sz w:val="20"/>
          <w:szCs w:val="20"/>
        </w:rPr>
        <w:t>t</w:t>
      </w:r>
      <w:r>
        <w:rPr>
          <w:rFonts w:ascii="Times New Roman" w:hAnsi="Times New Roman" w:cs="Times New Roman"/>
          <w:sz w:val="20"/>
          <w:szCs w:val="20"/>
        </w:rPr>
        <w:t>-statistics</w:t>
      </w:r>
      <w:r w:rsidRPr="00AD688D">
        <w:rPr>
          <w:rFonts w:ascii="Times New Roman" w:hAnsi="Times New Roman" w:cs="Times New Roman"/>
          <w:sz w:val="20"/>
          <w:szCs w:val="20"/>
        </w:rPr>
        <w:t xml:space="preserve"> are in parenthesis. ***, **, * indicate significance at the 1%, 5% and 10% levels, respectively</w:t>
      </w:r>
      <w:r>
        <w:rPr>
          <w:rFonts w:ascii="Times New Roman" w:hAnsi="Times New Roman" w:cs="Times New Roman"/>
          <w:sz w:val="20"/>
          <w:szCs w:val="20"/>
        </w:rPr>
        <w:t xml:space="preserve">. </w:t>
      </w:r>
      <w:r w:rsidRPr="00866D4A">
        <w:rPr>
          <w:rFonts w:ascii="Times New Roman" w:hAnsi="Times New Roman" w:cs="Times New Roman"/>
          <w:sz w:val="20"/>
          <w:szCs w:val="20"/>
        </w:rPr>
        <w:t xml:space="preserve">All variables are defined </w:t>
      </w:r>
      <w:r>
        <w:rPr>
          <w:rFonts w:ascii="Times New Roman" w:hAnsi="Times New Roman" w:cs="Times New Roman"/>
          <w:sz w:val="20"/>
          <w:szCs w:val="20"/>
        </w:rPr>
        <w:t>in Appendix.</w:t>
      </w:r>
    </w:p>
    <w:tbl>
      <w:tblPr>
        <w:tblW w:w="14006" w:type="dxa"/>
        <w:tblCellMar>
          <w:left w:w="0" w:type="dxa"/>
          <w:right w:w="0" w:type="dxa"/>
        </w:tblCellMar>
        <w:tblLook w:val="04A0" w:firstRow="1" w:lastRow="0" w:firstColumn="1" w:lastColumn="0" w:noHBand="0" w:noVBand="1"/>
      </w:tblPr>
      <w:tblGrid>
        <w:gridCol w:w="3261"/>
        <w:gridCol w:w="1275"/>
        <w:gridCol w:w="1276"/>
        <w:gridCol w:w="1418"/>
        <w:gridCol w:w="1417"/>
        <w:gridCol w:w="1313"/>
        <w:gridCol w:w="1276"/>
        <w:gridCol w:w="1359"/>
        <w:gridCol w:w="1411"/>
      </w:tblGrid>
      <w:tr w:rsidR="00E75410" w:rsidRPr="008D1DA7" w14:paraId="0A44D359" w14:textId="77777777" w:rsidTr="001578CB">
        <w:trPr>
          <w:trHeight w:val="65"/>
        </w:trPr>
        <w:tc>
          <w:tcPr>
            <w:tcW w:w="0" w:type="auto"/>
            <w:gridSpan w:val="9"/>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BD3271" w14:textId="20DCD91E" w:rsidR="00E75410" w:rsidRPr="00CD724E" w:rsidRDefault="0042717E" w:rsidP="001578CB">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en-NZ"/>
              </w:rPr>
              <w:lastRenderedPageBreak/>
              <w:t>T</w:t>
            </w:r>
            <w:r w:rsidRPr="002A6AF0">
              <w:rPr>
                <w:rFonts w:ascii="Times New Roman" w:eastAsia="Times New Roman" w:hAnsi="Times New Roman" w:cs="Times New Roman"/>
                <w:color w:val="000000"/>
                <w:sz w:val="20"/>
                <w:szCs w:val="20"/>
                <w:lang w:eastAsia="en-NZ"/>
              </w:rPr>
              <w:t xml:space="preserve">ABLE </w:t>
            </w:r>
            <w:r w:rsidR="000F38AB">
              <w:rPr>
                <w:rFonts w:ascii="Times New Roman" w:eastAsia="Times New Roman" w:hAnsi="Times New Roman" w:cs="Times New Roman"/>
                <w:color w:val="000000"/>
                <w:sz w:val="20"/>
                <w:szCs w:val="20"/>
                <w:lang w:eastAsia="en-NZ"/>
              </w:rPr>
              <w:t>7</w:t>
            </w:r>
            <w:r w:rsidRPr="002A6AF0">
              <w:rPr>
                <w:rFonts w:ascii="Times New Roman" w:eastAsia="Times New Roman" w:hAnsi="Times New Roman" w:cs="Times New Roman"/>
                <w:color w:val="000000"/>
                <w:sz w:val="20"/>
                <w:szCs w:val="20"/>
                <w:lang w:eastAsia="en-NZ"/>
              </w:rPr>
              <w:t>:</w:t>
            </w:r>
            <w:r>
              <w:rPr>
                <w:rFonts w:ascii="Times New Roman" w:eastAsia="Times New Roman" w:hAnsi="Times New Roman" w:cs="Times New Roman"/>
                <w:color w:val="000000"/>
                <w:sz w:val="20"/>
                <w:szCs w:val="20"/>
                <w:lang w:eastAsia="en-NZ"/>
              </w:rPr>
              <w:t xml:space="preserve"> </w:t>
            </w:r>
            <w:r w:rsidR="00E40642" w:rsidRPr="00CC0FCE">
              <w:rPr>
                <w:rFonts w:ascii="Times New Roman" w:eastAsia="Times New Roman" w:hAnsi="Times New Roman" w:cs="Times New Roman"/>
                <w:sz w:val="20"/>
                <w:szCs w:val="20"/>
                <w:lang w:eastAsia="en-NZ"/>
              </w:rPr>
              <w:t>Alternative measures</w:t>
            </w:r>
            <w:r w:rsidR="000051F7">
              <w:rPr>
                <w:rFonts w:ascii="Times New Roman" w:eastAsia="Times New Roman" w:hAnsi="Times New Roman" w:cs="Times New Roman"/>
                <w:sz w:val="20"/>
                <w:szCs w:val="20"/>
                <w:lang w:eastAsia="en-NZ"/>
              </w:rPr>
              <w:t xml:space="preserve"> of post-SEO</w:t>
            </w:r>
            <w:r w:rsidR="007D1CCA">
              <w:rPr>
                <w:rFonts w:ascii="Times New Roman" w:eastAsia="Times New Roman" w:hAnsi="Times New Roman" w:cs="Times New Roman"/>
                <w:sz w:val="20"/>
                <w:szCs w:val="20"/>
                <w:lang w:eastAsia="en-NZ"/>
              </w:rPr>
              <w:t xml:space="preserve"> performance</w:t>
            </w:r>
          </w:p>
        </w:tc>
      </w:tr>
      <w:tr w:rsidR="00915BD0" w:rsidRPr="008D1DA7" w14:paraId="416DB682" w14:textId="77777777" w:rsidTr="001578CB">
        <w:trPr>
          <w:trHeight w:val="65"/>
        </w:trPr>
        <w:tc>
          <w:tcPr>
            <w:tcW w:w="3261" w:type="dxa"/>
            <w:tcBorders>
              <w:top w:val="nil"/>
              <w:left w:val="nil"/>
              <w:right w:val="nil"/>
            </w:tcBorders>
            <w:shd w:val="clear" w:color="auto" w:fill="auto"/>
            <w:noWrap/>
            <w:tcMar>
              <w:top w:w="15" w:type="dxa"/>
              <w:left w:w="15" w:type="dxa"/>
              <w:bottom w:w="0" w:type="dxa"/>
              <w:right w:w="15" w:type="dxa"/>
            </w:tcMar>
            <w:vAlign w:val="bottom"/>
            <w:hideMark/>
          </w:tcPr>
          <w:p w14:paraId="0D6CBCF3" w14:textId="00545330" w:rsidR="00E75410" w:rsidRPr="00CD724E" w:rsidRDefault="00E75410" w:rsidP="00CD724E">
            <w:pPr>
              <w:spacing w:after="0" w:line="240" w:lineRule="auto"/>
              <w:rPr>
                <w:rFonts w:ascii="Times New Roman" w:hAnsi="Times New Roman" w:cs="Times New Roman"/>
                <w:color w:val="000000"/>
                <w:sz w:val="20"/>
                <w:szCs w:val="20"/>
              </w:rPr>
            </w:pP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9971EC"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(1)</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B434B0"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(2)</w:t>
            </w: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56287F"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C3A78"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(4)</w:t>
            </w:r>
          </w:p>
        </w:tc>
        <w:tc>
          <w:tcPr>
            <w:tcW w:w="1313"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93BFF7D"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(5)</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C5157B"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(6)</w:t>
            </w:r>
          </w:p>
        </w:tc>
        <w:tc>
          <w:tcPr>
            <w:tcW w:w="135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D5FCEF"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(7)</w:t>
            </w:r>
          </w:p>
        </w:tc>
        <w:tc>
          <w:tcPr>
            <w:tcW w:w="141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550A02" w14:textId="77777777" w:rsidR="00E75410" w:rsidRPr="00CD724E" w:rsidRDefault="00E75410" w:rsidP="00CD724E">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(8)</w:t>
            </w:r>
          </w:p>
        </w:tc>
      </w:tr>
      <w:tr w:rsidR="00BC7529" w:rsidRPr="008D1DA7" w14:paraId="7EAC3692" w14:textId="77777777" w:rsidTr="001578CB">
        <w:trPr>
          <w:trHeight w:val="65"/>
        </w:trPr>
        <w:tc>
          <w:tcPr>
            <w:tcW w:w="3261" w:type="dxa"/>
            <w:tcBorders>
              <w:left w:val="nil"/>
              <w:right w:val="nil"/>
            </w:tcBorders>
            <w:shd w:val="clear" w:color="auto" w:fill="auto"/>
            <w:noWrap/>
            <w:tcMar>
              <w:top w:w="15" w:type="dxa"/>
              <w:left w:w="15" w:type="dxa"/>
              <w:bottom w:w="0" w:type="dxa"/>
              <w:right w:w="15" w:type="dxa"/>
            </w:tcMar>
            <w:vAlign w:val="bottom"/>
          </w:tcPr>
          <w:p w14:paraId="71F747AD" w14:textId="77777777" w:rsidR="00BC7529" w:rsidRPr="00CD724E" w:rsidRDefault="00BC7529" w:rsidP="00CD724E">
            <w:pPr>
              <w:spacing w:after="0" w:line="240" w:lineRule="auto"/>
              <w:rPr>
                <w:rFonts w:ascii="Times New Roman" w:hAnsi="Times New Roman" w:cs="Times New Roman"/>
                <w:color w:val="000000"/>
                <w:sz w:val="20"/>
                <w:szCs w:val="20"/>
              </w:rPr>
            </w:pPr>
          </w:p>
        </w:tc>
        <w:tc>
          <w:tcPr>
            <w:tcW w:w="5386"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46A4E7" w14:textId="249E111D" w:rsidR="00BC7529" w:rsidRPr="00CD724E" w:rsidRDefault="00BC75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sidR="00A73160">
              <w:rPr>
                <w:rFonts w:ascii="Times New Roman" w:hAnsi="Times New Roman" w:cs="Times New Roman"/>
                <w:color w:val="000000"/>
                <w:sz w:val="20"/>
                <w:szCs w:val="20"/>
              </w:rPr>
              <w:t>V</w:t>
            </w:r>
            <w:r w:rsidR="00AB3D60">
              <w:rPr>
                <w:rFonts w:ascii="Times New Roman" w:hAnsi="Times New Roman" w:cs="Times New Roman"/>
                <w:color w:val="000000"/>
                <w:sz w:val="20"/>
                <w:szCs w:val="20"/>
              </w:rPr>
              <w:t xml:space="preserve"> </w:t>
            </w:r>
            <w:r w:rsidR="00A73160">
              <w:rPr>
                <w:rFonts w:ascii="Times New Roman" w:hAnsi="Times New Roman" w:cs="Times New Roman"/>
                <w:color w:val="000000"/>
                <w:sz w:val="20"/>
                <w:szCs w:val="20"/>
              </w:rPr>
              <w:t>=</w:t>
            </w:r>
            <w:r w:rsidR="00A73160" w:rsidRPr="00CC0FCE">
              <w:rPr>
                <w:rFonts w:ascii="Times New Roman" w:eastAsia="Times New Roman" w:hAnsi="Times New Roman" w:cs="Times New Roman"/>
                <w:sz w:val="20"/>
                <w:szCs w:val="20"/>
                <w:lang w:eastAsia="en-NZ"/>
              </w:rPr>
              <w:t xml:space="preserve"> </w:t>
            </w:r>
            <w:r w:rsidR="00676B94">
              <w:rPr>
                <w:rFonts w:ascii="Times New Roman" w:eastAsia="Times New Roman" w:hAnsi="Times New Roman" w:cs="Times New Roman"/>
                <w:sz w:val="20"/>
                <w:szCs w:val="20"/>
                <w:lang w:eastAsia="en-NZ"/>
              </w:rPr>
              <w:t>I</w:t>
            </w:r>
            <w:r w:rsidR="00A73160" w:rsidRPr="00CC0FCE">
              <w:rPr>
                <w:rFonts w:ascii="Times New Roman" w:eastAsia="Times New Roman" w:hAnsi="Times New Roman" w:cs="Times New Roman"/>
                <w:sz w:val="20"/>
                <w:szCs w:val="20"/>
                <w:lang w:eastAsia="en-NZ"/>
              </w:rPr>
              <w:t>ndustry</w:t>
            </w:r>
            <w:r w:rsidR="00676B94">
              <w:rPr>
                <w:rFonts w:ascii="Times New Roman" w:eastAsia="Times New Roman" w:hAnsi="Times New Roman" w:cs="Times New Roman"/>
                <w:sz w:val="20"/>
                <w:szCs w:val="20"/>
                <w:lang w:eastAsia="en-NZ"/>
              </w:rPr>
              <w:t>-</w:t>
            </w:r>
            <w:r w:rsidR="00A73160" w:rsidRPr="00CC0FCE">
              <w:rPr>
                <w:rFonts w:ascii="Times New Roman" w:eastAsia="Times New Roman" w:hAnsi="Times New Roman" w:cs="Times New Roman"/>
                <w:sz w:val="20"/>
                <w:szCs w:val="20"/>
                <w:lang w:eastAsia="en-NZ"/>
              </w:rPr>
              <w:t>adjusted net income</w:t>
            </w:r>
            <w:r w:rsidR="00A73160">
              <w:rPr>
                <w:rFonts w:ascii="Times New Roman" w:eastAsia="Times New Roman" w:hAnsi="Times New Roman" w:cs="Times New Roman"/>
                <w:sz w:val="20"/>
                <w:szCs w:val="20"/>
                <w:lang w:eastAsia="en-NZ"/>
              </w:rPr>
              <w:t xml:space="preserve"> performance</w:t>
            </w:r>
          </w:p>
        </w:tc>
        <w:tc>
          <w:tcPr>
            <w:tcW w:w="5359" w:type="dxa"/>
            <w:gridSpan w:val="4"/>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D5DB317" w14:textId="1C24BAD0" w:rsidR="00BC7529" w:rsidRPr="00CD724E" w:rsidRDefault="00A731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sidR="00AB3D60">
              <w:rPr>
                <w:rFonts w:ascii="Times New Roman" w:hAnsi="Times New Roman" w:cs="Times New Roman"/>
                <w:color w:val="000000"/>
                <w:sz w:val="20"/>
                <w:szCs w:val="20"/>
              </w:rPr>
              <w:t xml:space="preserve">V </w:t>
            </w:r>
            <w:r>
              <w:rPr>
                <w:rFonts w:ascii="Times New Roman" w:hAnsi="Times New Roman" w:cs="Times New Roman"/>
                <w:color w:val="000000"/>
                <w:sz w:val="20"/>
                <w:szCs w:val="20"/>
              </w:rPr>
              <w:t>=</w:t>
            </w:r>
            <w:r w:rsidRPr="00CC0FCE">
              <w:rPr>
                <w:rFonts w:ascii="Times New Roman" w:eastAsia="Times New Roman" w:hAnsi="Times New Roman" w:cs="Times New Roman"/>
                <w:sz w:val="20"/>
                <w:szCs w:val="20"/>
                <w:lang w:eastAsia="en-NZ"/>
              </w:rPr>
              <w:t xml:space="preserve"> </w:t>
            </w:r>
            <w:r w:rsidR="00AB3D60">
              <w:rPr>
                <w:rFonts w:ascii="Times New Roman" w:eastAsia="Times New Roman" w:hAnsi="Times New Roman" w:cs="Times New Roman"/>
                <w:sz w:val="20"/>
                <w:szCs w:val="20"/>
                <w:lang w:eastAsia="en-NZ"/>
              </w:rPr>
              <w:t>Market</w:t>
            </w:r>
            <w:r w:rsidR="007A1E42">
              <w:rPr>
                <w:rFonts w:ascii="Times New Roman" w:eastAsia="Times New Roman" w:hAnsi="Times New Roman" w:cs="Times New Roman"/>
                <w:sz w:val="20"/>
                <w:szCs w:val="20"/>
                <w:lang w:eastAsia="en-NZ"/>
              </w:rPr>
              <w:t>-</w:t>
            </w:r>
            <w:r w:rsidR="00AB3D60">
              <w:rPr>
                <w:rFonts w:ascii="Times New Roman" w:eastAsia="Times New Roman" w:hAnsi="Times New Roman" w:cs="Times New Roman"/>
                <w:sz w:val="20"/>
                <w:szCs w:val="20"/>
                <w:lang w:eastAsia="en-NZ"/>
              </w:rPr>
              <w:t>adjusted returns</w:t>
            </w:r>
          </w:p>
        </w:tc>
      </w:tr>
      <w:tr w:rsidR="00664EAD" w:rsidRPr="008D1DA7" w14:paraId="4626B5AB" w14:textId="77777777" w:rsidTr="001578CB">
        <w:trPr>
          <w:trHeight w:val="89"/>
        </w:trPr>
        <w:tc>
          <w:tcPr>
            <w:tcW w:w="3261"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8FF7384" w14:textId="77777777" w:rsidR="00664EAD" w:rsidRPr="00CD724E" w:rsidRDefault="00664EAD" w:rsidP="00664EAD">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Variables</w:t>
            </w:r>
          </w:p>
        </w:tc>
        <w:tc>
          <w:tcPr>
            <w:tcW w:w="127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AFF6412" w14:textId="40778244"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RAM</w:t>
            </w:r>
          </w:p>
        </w:tc>
        <w:tc>
          <w:tcPr>
            <w:tcW w:w="12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2AEED90" w14:textId="5802EE9D"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Sum (AEM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RAM)</w:t>
            </w:r>
          </w:p>
        </w:tc>
        <w:tc>
          <w:tcPr>
            <w:tcW w:w="141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6BDCA439" w14:textId="642F930D"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w:t>
            </w:r>
            <w:r>
              <w:rPr>
                <w:rFonts w:ascii="Times New Roman" w:hAnsi="Times New Roman" w:cs="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9502AA" w14:textId="532267E9"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Sum (AEM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RAM)</w:t>
            </w:r>
          </w:p>
        </w:tc>
        <w:tc>
          <w:tcPr>
            <w:tcW w:w="1313"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193F33A" w14:textId="72A0D549"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RAM</w:t>
            </w:r>
          </w:p>
        </w:tc>
        <w:tc>
          <w:tcPr>
            <w:tcW w:w="12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E6A5C6" w14:textId="16651A78"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Sum (AEM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RAM)</w:t>
            </w:r>
          </w:p>
        </w:tc>
        <w:tc>
          <w:tcPr>
            <w:tcW w:w="13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7272957D" w14:textId="26EAB0DD"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w:t>
            </w:r>
            <w:r>
              <w:rPr>
                <w:rFonts w:ascii="Times New Roman" w:hAnsi="Times New Roman" w:cs="Times New Roman"/>
                <w:color w:val="000000"/>
                <w:sz w:val="20"/>
                <w:szCs w:val="20"/>
              </w:rPr>
              <w:t>M</w:t>
            </w:r>
          </w:p>
        </w:tc>
        <w:tc>
          <w:tcPr>
            <w:tcW w:w="141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30DDC04A" w14:textId="0938CD98" w:rsidR="00664EAD" w:rsidRPr="00CD724E" w:rsidRDefault="00664EAD" w:rsidP="00664EAD">
            <w:pPr>
              <w:spacing w:after="0" w:line="240" w:lineRule="auto"/>
              <w:jc w:val="center"/>
              <w:rPr>
                <w:rFonts w:ascii="Times New Roman" w:hAnsi="Times New Roman" w:cs="Times New Roman"/>
                <w:color w:val="000000"/>
                <w:sz w:val="20"/>
                <w:szCs w:val="20"/>
              </w:rPr>
            </w:pPr>
            <w:r w:rsidRPr="00CD724E">
              <w:rPr>
                <w:rFonts w:ascii="Times New Roman" w:hAnsi="Times New Roman" w:cs="Times New Roman"/>
                <w:color w:val="000000"/>
                <w:sz w:val="20"/>
                <w:szCs w:val="20"/>
              </w:rPr>
              <w:t>Sum (AEM</w:t>
            </w:r>
            <w:r w:rsidR="00DD60AE">
              <w:rPr>
                <w:rFonts w:ascii="Times New Roman" w:hAnsi="Times New Roman" w:cs="Times New Roman"/>
                <w:color w:val="000000"/>
                <w:sz w:val="20"/>
                <w:szCs w:val="20"/>
              </w:rPr>
              <w:t>&amp;</w:t>
            </w:r>
            <w:r w:rsidRPr="00CD724E">
              <w:rPr>
                <w:rFonts w:ascii="Times New Roman" w:hAnsi="Times New Roman" w:cs="Times New Roman"/>
                <w:color w:val="000000"/>
                <w:sz w:val="20"/>
                <w:szCs w:val="20"/>
              </w:rPr>
              <w:t>RAM)</w:t>
            </w:r>
          </w:p>
        </w:tc>
      </w:tr>
      <w:tr w:rsidR="00127F0A" w:rsidRPr="008D1DA7" w14:paraId="15E90E38"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56143258" w14:textId="77777777" w:rsidR="003A40A2" w:rsidRPr="00CD724E" w:rsidRDefault="003A40A2" w:rsidP="003A40A2">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AEM</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5FDC2FE9" w14:textId="11DDF0F7" w:rsidR="003A40A2"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A40A2" w:rsidRPr="001578CB">
              <w:rPr>
                <w:rFonts w:ascii="Times New Roman" w:hAnsi="Times New Roman" w:cs="Times New Roman"/>
                <w:color w:val="000000"/>
                <w:sz w:val="20"/>
                <w:szCs w:val="20"/>
              </w:rPr>
              <w:t>0.0211***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D26E499" w14:textId="1E6DDC9F" w:rsidR="003A40A2" w:rsidRPr="00984D13" w:rsidRDefault="003A40A2">
            <w:pPr>
              <w:spacing w:after="0" w:line="240" w:lineRule="auto"/>
              <w:jc w:val="center"/>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81C8B15" w14:textId="76A90C62" w:rsidR="003A40A2"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A40A2" w:rsidRPr="001578CB">
              <w:rPr>
                <w:rFonts w:ascii="Times New Roman" w:hAnsi="Times New Roman" w:cs="Times New Roman"/>
                <w:color w:val="000000"/>
                <w:sz w:val="20"/>
                <w:szCs w:val="20"/>
              </w:rPr>
              <w:t>0.0335**</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10AC19" w14:textId="77777777" w:rsidR="003A40A2" w:rsidRPr="00984D13" w:rsidRDefault="003A40A2">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CA72481" w14:textId="62C0085B" w:rsidR="003A40A2"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A40A2" w:rsidRPr="001578CB">
              <w:rPr>
                <w:rFonts w:ascii="Times New Roman" w:hAnsi="Times New Roman" w:cs="Times New Roman"/>
                <w:color w:val="000000"/>
                <w:sz w:val="20"/>
                <w:szCs w:val="20"/>
              </w:rPr>
              <w:t>0.0384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3305894" w14:textId="166321C6" w:rsidR="003A40A2" w:rsidRPr="00984D13" w:rsidRDefault="003A40A2">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0C31F60" w14:textId="2AB64847" w:rsidR="003A40A2"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A40A2" w:rsidRPr="001578CB">
              <w:rPr>
                <w:rFonts w:ascii="Times New Roman" w:hAnsi="Times New Roman" w:cs="Times New Roman"/>
                <w:color w:val="000000"/>
                <w:sz w:val="20"/>
                <w:szCs w:val="20"/>
              </w:rPr>
              <w:t>0.4276*</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8977825" w14:textId="77777777" w:rsidR="003A40A2" w:rsidRPr="00984D13" w:rsidRDefault="003A40A2">
            <w:pPr>
              <w:spacing w:after="0" w:line="240" w:lineRule="auto"/>
              <w:jc w:val="center"/>
              <w:rPr>
                <w:rFonts w:ascii="Times New Roman" w:hAnsi="Times New Roman" w:cs="Times New Roman"/>
                <w:sz w:val="20"/>
                <w:szCs w:val="20"/>
              </w:rPr>
            </w:pPr>
          </w:p>
        </w:tc>
      </w:tr>
      <w:tr w:rsidR="00127F0A" w:rsidRPr="008D1DA7" w14:paraId="77B5F8A0"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28D3279A" w14:textId="77777777" w:rsidR="003A40A2" w:rsidRPr="00CD724E" w:rsidRDefault="003A40A2" w:rsidP="003A40A2">
            <w:pPr>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47A30DB2" w14:textId="0A71F0BA"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4.6708)</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5513BD5" w14:textId="4C0C15E9" w:rsidR="003A40A2" w:rsidRPr="00984D13" w:rsidRDefault="003A40A2">
            <w:pPr>
              <w:spacing w:after="0" w:line="240" w:lineRule="auto"/>
              <w:jc w:val="center"/>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28712FE0" w14:textId="4E4CF639"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2.1723)</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466185" w14:textId="77777777" w:rsidR="003A40A2" w:rsidRPr="00984D13" w:rsidRDefault="003A40A2">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C17E72F" w14:textId="7C0D7108"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0.7404)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C0CD4EE" w14:textId="72F880E2" w:rsidR="003A40A2" w:rsidRPr="00984D13" w:rsidRDefault="003A40A2">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1351AD05" w14:textId="145A6C6D"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B5751E">
              <w:rPr>
                <w:rFonts w:ascii="Times New Roman" w:hAnsi="Times New Roman" w:cs="Times New Roman"/>
                <w:color w:val="000000"/>
                <w:sz w:val="20"/>
                <w:szCs w:val="20"/>
              </w:rPr>
              <w:t>-</w:t>
            </w:r>
            <w:r w:rsidRPr="001578CB">
              <w:rPr>
                <w:rFonts w:ascii="Times New Roman" w:hAnsi="Times New Roman" w:cs="Times New Roman"/>
                <w:color w:val="000000"/>
                <w:sz w:val="20"/>
                <w:szCs w:val="20"/>
              </w:rPr>
              <w:t>1.8218)</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3F67445A" w14:textId="77777777" w:rsidR="003A40A2" w:rsidRPr="00984D13" w:rsidRDefault="003A40A2">
            <w:pPr>
              <w:spacing w:after="0" w:line="240" w:lineRule="auto"/>
              <w:jc w:val="center"/>
              <w:rPr>
                <w:rFonts w:ascii="Times New Roman" w:hAnsi="Times New Roman" w:cs="Times New Roman"/>
                <w:sz w:val="20"/>
                <w:szCs w:val="20"/>
              </w:rPr>
            </w:pPr>
          </w:p>
        </w:tc>
      </w:tr>
      <w:tr w:rsidR="00127F0A" w:rsidRPr="008D1DA7" w14:paraId="3A78B844"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1B0FFA5A" w14:textId="77777777" w:rsidR="003A40A2" w:rsidRPr="00CD724E" w:rsidRDefault="003A40A2" w:rsidP="003A40A2">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RAM</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4F041BA5" w14:textId="502CC901" w:rsidR="003A40A2"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A40A2" w:rsidRPr="001578CB">
              <w:rPr>
                <w:rFonts w:ascii="Times New Roman" w:hAnsi="Times New Roman" w:cs="Times New Roman"/>
                <w:color w:val="000000"/>
                <w:sz w:val="20"/>
                <w:szCs w:val="20"/>
              </w:rPr>
              <w:t>0.0755***</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BA577AF" w14:textId="63DDBA98" w:rsidR="003A40A2" w:rsidRPr="00984D13" w:rsidRDefault="003A40A2">
            <w:pPr>
              <w:spacing w:after="0" w:line="240" w:lineRule="auto"/>
              <w:jc w:val="center"/>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5ED603F" w14:textId="798ED4D3" w:rsidR="003A40A2"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A40A2" w:rsidRPr="001578CB">
              <w:rPr>
                <w:rFonts w:ascii="Times New Roman" w:hAnsi="Times New Roman" w:cs="Times New Roman"/>
                <w:color w:val="000000"/>
                <w:sz w:val="20"/>
                <w:szCs w:val="20"/>
              </w:rPr>
              <w:t>0.0505***</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922B7A" w14:textId="77777777" w:rsidR="003A40A2" w:rsidRPr="00984D13" w:rsidRDefault="003A40A2">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89AB1F4" w14:textId="1EF28A66"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-0.1381***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1A98DD2" w14:textId="6F5FE96D" w:rsidR="003A40A2" w:rsidRPr="00984D13" w:rsidRDefault="003A40A2">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0B28343" w14:textId="4D8AFA6D"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-0.5680**</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B62703D" w14:textId="77777777" w:rsidR="003A40A2" w:rsidRPr="00984D13" w:rsidRDefault="003A40A2">
            <w:pPr>
              <w:spacing w:after="0" w:line="240" w:lineRule="auto"/>
              <w:jc w:val="center"/>
              <w:rPr>
                <w:rFonts w:ascii="Times New Roman" w:hAnsi="Times New Roman" w:cs="Times New Roman"/>
                <w:sz w:val="20"/>
                <w:szCs w:val="20"/>
              </w:rPr>
            </w:pPr>
          </w:p>
        </w:tc>
      </w:tr>
      <w:tr w:rsidR="00127F0A" w:rsidRPr="008D1DA7" w14:paraId="2FC74AAE"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4441D5F4" w14:textId="77777777" w:rsidR="003A40A2" w:rsidRPr="00CD724E" w:rsidRDefault="003A40A2" w:rsidP="003A40A2">
            <w:pPr>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2CB9D5E5" w14:textId="6127FAC0"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16.5267)</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04F8D60" w14:textId="541722EA" w:rsidR="003A40A2" w:rsidRPr="00984D13" w:rsidRDefault="003A40A2">
            <w:pPr>
              <w:spacing w:after="0" w:line="240" w:lineRule="auto"/>
              <w:jc w:val="center"/>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6EF9E40" w14:textId="7787A6F9"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3.0888)</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196D930" w14:textId="77777777" w:rsidR="003A40A2" w:rsidRPr="00984D13" w:rsidRDefault="003A40A2">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316DB68" w14:textId="01602106"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(-2.6524)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EEBFDE0" w14:textId="32499C3D" w:rsidR="003A40A2" w:rsidRPr="00984D13" w:rsidRDefault="003A40A2">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0E772CBB" w14:textId="4CFB8E33" w:rsidR="003A40A2" w:rsidRPr="00984D13" w:rsidRDefault="003A40A2">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(-2.2693)</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0CFBB7CF" w14:textId="77777777" w:rsidR="003A40A2" w:rsidRPr="00984D13" w:rsidRDefault="003A40A2">
            <w:pPr>
              <w:spacing w:after="0" w:line="240" w:lineRule="auto"/>
              <w:jc w:val="center"/>
              <w:rPr>
                <w:rFonts w:ascii="Times New Roman" w:hAnsi="Times New Roman" w:cs="Times New Roman"/>
                <w:sz w:val="20"/>
                <w:szCs w:val="20"/>
              </w:rPr>
            </w:pPr>
          </w:p>
        </w:tc>
      </w:tr>
      <w:tr w:rsidR="00127F0A" w:rsidRPr="008D1DA7" w14:paraId="55F6DA92"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0B88BDD2" w14:textId="77777777" w:rsidR="00D95CB8" w:rsidRPr="00CD724E" w:rsidRDefault="00D95CB8" w:rsidP="00D95CB8">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TAR</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17E6D524" w14:textId="77777777" w:rsidR="00D95CB8" w:rsidRPr="00984D13" w:rsidRDefault="00D95CB8" w:rsidP="001578CB">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D8B943B" w14:textId="55CB6F91" w:rsidR="00D95CB8" w:rsidRPr="00984D13" w:rsidRDefault="009A00F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D95CB8" w:rsidRPr="001578CB">
              <w:rPr>
                <w:rFonts w:ascii="Times New Roman" w:hAnsi="Times New Roman" w:cs="Times New Roman"/>
                <w:color w:val="000000"/>
                <w:sz w:val="20"/>
                <w:szCs w:val="20"/>
              </w:rPr>
              <w:t>0.0483***</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EC26038" w14:textId="3867339A" w:rsidR="00D95CB8" w:rsidRPr="00984D13" w:rsidRDefault="00D95CB8">
            <w:pPr>
              <w:spacing w:after="0" w:line="240" w:lineRule="auto"/>
              <w:jc w:val="center"/>
              <w:rPr>
                <w:rFonts w:ascii="Times New Roman" w:hAnsi="Times New Roman" w:cs="Times New Roman"/>
                <w:color w:val="000000"/>
                <w:sz w:val="20"/>
                <w:szCs w:val="2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F21471" w14:textId="338470AF" w:rsidR="00D95CB8"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95CB8" w:rsidRPr="001578CB">
              <w:rPr>
                <w:rFonts w:ascii="Times New Roman" w:hAnsi="Times New Roman" w:cs="Times New Roman"/>
                <w:color w:val="000000"/>
                <w:sz w:val="20"/>
                <w:szCs w:val="20"/>
              </w:rPr>
              <w:t>0.0416***</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F07138E" w14:textId="77777777" w:rsidR="00D95CB8" w:rsidRPr="00984D13" w:rsidRDefault="00D95CB8">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D862CFD" w14:textId="58338028" w:rsidR="00D95CB8" w:rsidRPr="00984D13" w:rsidRDefault="00D95CB8">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-0.0494</w:t>
            </w:r>
            <w:r w:rsidR="00921590">
              <w:rPr>
                <w:rFonts w:ascii="Times New Roman" w:hAnsi="Times New Roman" w:cs="Times New Roman"/>
                <w:color w:val="000000"/>
                <w:sz w:val="20"/>
                <w:szCs w:val="20"/>
              </w:rPr>
              <w:t>*</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2F78D03C" w14:textId="1AE2ACB5" w:rsidR="00D95CB8" w:rsidRPr="00984D13" w:rsidRDefault="00D95CB8">
            <w:pPr>
              <w:spacing w:after="0" w:line="240" w:lineRule="auto"/>
              <w:jc w:val="center"/>
              <w:rPr>
                <w:rFonts w:ascii="Times New Roman" w:hAnsi="Times New Roman" w:cs="Times New Roman"/>
                <w:color w:val="000000"/>
                <w:sz w:val="20"/>
                <w:szCs w:val="20"/>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48D95DF8" w14:textId="1105989B" w:rsidR="00D95CB8" w:rsidRPr="00984D13" w:rsidRDefault="00D95CB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-0.0415</w:t>
            </w:r>
            <w:r w:rsidR="00E92CCB">
              <w:rPr>
                <w:rFonts w:ascii="Times New Roman" w:hAnsi="Times New Roman" w:cs="Times New Roman"/>
                <w:color w:val="000000"/>
                <w:sz w:val="20"/>
                <w:szCs w:val="20"/>
              </w:rPr>
              <w:t>***</w:t>
            </w:r>
          </w:p>
        </w:tc>
      </w:tr>
      <w:tr w:rsidR="00127F0A" w:rsidRPr="008D1DA7" w14:paraId="58FB26BD"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7A2BE6F5" w14:textId="77777777" w:rsidR="00D95CB8" w:rsidRPr="00CD724E" w:rsidRDefault="00D95CB8" w:rsidP="00D95CB8">
            <w:pPr>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01482FA2" w14:textId="77777777" w:rsidR="00D95CB8" w:rsidRPr="00984D13" w:rsidRDefault="00D95CB8" w:rsidP="001578CB">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957F93F" w14:textId="7883E304" w:rsidR="00D95CB8" w:rsidRPr="00984D13" w:rsidRDefault="00D95CB8">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14.8819)</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F01C3D9" w14:textId="000919ED" w:rsidR="00D95CB8" w:rsidRPr="00984D13" w:rsidRDefault="00D95CB8">
            <w:pPr>
              <w:spacing w:after="0" w:line="240" w:lineRule="auto"/>
              <w:jc w:val="center"/>
              <w:rPr>
                <w:rFonts w:ascii="Times New Roman" w:hAnsi="Times New Roman" w:cs="Times New Roman"/>
                <w:color w:val="000000"/>
                <w:sz w:val="20"/>
                <w:szCs w:val="2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C33899" w14:textId="7AE3B014" w:rsidR="00D95CB8" w:rsidRPr="00984D13" w:rsidRDefault="00D95CB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3.9883)</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95EF41E" w14:textId="77777777" w:rsidR="00D95CB8" w:rsidRPr="00984D13" w:rsidRDefault="00D95CB8">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AC7CEA9" w14:textId="0B2B7ADF" w:rsidR="00D95CB8" w:rsidRPr="00984D13" w:rsidRDefault="00D95CB8">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(-1.</w:t>
            </w:r>
            <w:r w:rsidR="00B451D1">
              <w:rPr>
                <w:rFonts w:ascii="Times New Roman" w:hAnsi="Times New Roman" w:cs="Times New Roman"/>
                <w:color w:val="000000"/>
                <w:sz w:val="20"/>
                <w:szCs w:val="20"/>
              </w:rPr>
              <w:t>9</w:t>
            </w:r>
            <w:r w:rsidRPr="001578CB">
              <w:rPr>
                <w:rFonts w:ascii="Times New Roman" w:hAnsi="Times New Roman" w:cs="Times New Roman"/>
                <w:color w:val="000000"/>
                <w:sz w:val="20"/>
                <w:szCs w:val="20"/>
              </w:rPr>
              <w:t>287)</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7E4FDFDD" w14:textId="0D547D8D" w:rsidR="00D95CB8" w:rsidRPr="00984D13" w:rsidRDefault="00D95CB8">
            <w:pPr>
              <w:spacing w:after="0" w:line="240" w:lineRule="auto"/>
              <w:jc w:val="center"/>
              <w:rPr>
                <w:rFonts w:ascii="Times New Roman" w:hAnsi="Times New Roman" w:cs="Times New Roman"/>
                <w:color w:val="000000"/>
                <w:sz w:val="20"/>
                <w:szCs w:val="20"/>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594C2382" w14:textId="33B385C4" w:rsidR="00D95CB8" w:rsidRPr="00984D13" w:rsidRDefault="00D95CB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E92CCB">
              <w:rPr>
                <w:rFonts w:ascii="Times New Roman" w:hAnsi="Times New Roman" w:cs="Times New Roman"/>
                <w:color w:val="000000"/>
                <w:sz w:val="20"/>
                <w:szCs w:val="20"/>
              </w:rPr>
              <w:t>3</w:t>
            </w:r>
            <w:r w:rsidRPr="001578CB">
              <w:rPr>
                <w:rFonts w:ascii="Times New Roman" w:hAnsi="Times New Roman" w:cs="Times New Roman"/>
                <w:color w:val="000000"/>
                <w:sz w:val="20"/>
                <w:szCs w:val="20"/>
              </w:rPr>
              <w:t>.2479)</w:t>
            </w:r>
          </w:p>
        </w:tc>
      </w:tr>
      <w:tr w:rsidR="00127F0A" w:rsidRPr="008D1DA7" w14:paraId="7C8F26FE"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360A0BCF" w14:textId="77777777" w:rsidR="00455244" w:rsidRPr="00CD724E" w:rsidRDefault="00455244" w:rsidP="00455244">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AEM*LAW</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3A73D44C" w14:textId="77777777" w:rsidR="00455244" w:rsidRPr="00984D13" w:rsidRDefault="00455244" w:rsidP="001578CB">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8A4481F" w14:textId="77777777" w:rsidR="00455244" w:rsidRPr="00984D13" w:rsidRDefault="00455244">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tcPr>
          <w:p w14:paraId="216F7EF1" w14:textId="2B276594" w:rsidR="00455244" w:rsidRPr="00984D13" w:rsidRDefault="00455244">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-0.0077</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D65A76F" w14:textId="77777777" w:rsidR="00455244" w:rsidRPr="00984D13" w:rsidRDefault="00455244">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FD53CE4" w14:textId="21709AF0" w:rsidR="00455244" w:rsidRPr="00984D13" w:rsidRDefault="00455244">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28DE26D" w14:textId="77F4A594" w:rsidR="00455244" w:rsidRPr="00984D13" w:rsidRDefault="00455244">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8344324" w14:textId="7F810809" w:rsidR="00455244" w:rsidRPr="00984D13" w:rsidRDefault="00455244">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-0.2310*</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800AA38" w14:textId="77777777" w:rsidR="00455244" w:rsidRPr="00984D13" w:rsidRDefault="00455244">
            <w:pPr>
              <w:spacing w:after="0" w:line="240" w:lineRule="auto"/>
              <w:jc w:val="center"/>
              <w:rPr>
                <w:rFonts w:ascii="Times New Roman" w:hAnsi="Times New Roman" w:cs="Times New Roman"/>
                <w:sz w:val="20"/>
                <w:szCs w:val="20"/>
              </w:rPr>
            </w:pPr>
          </w:p>
        </w:tc>
      </w:tr>
      <w:tr w:rsidR="00127F0A" w:rsidRPr="008D1DA7" w14:paraId="3745144C"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1AD7D9C2" w14:textId="77777777" w:rsidR="00455244" w:rsidRPr="00CD724E" w:rsidRDefault="00455244" w:rsidP="00455244">
            <w:pPr>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5C9A823" w14:textId="77777777" w:rsidR="00455244" w:rsidRPr="00984D13" w:rsidRDefault="00455244" w:rsidP="001578CB">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4443D8E" w14:textId="77777777" w:rsidR="00455244" w:rsidRPr="00984D13" w:rsidRDefault="00455244">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8FA2735" w14:textId="141E496B" w:rsidR="00455244" w:rsidRPr="00984D13" w:rsidRDefault="00455244">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(-0.8257)</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BF060E" w14:textId="77777777" w:rsidR="00455244" w:rsidRPr="00984D13" w:rsidRDefault="00455244">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E580CD9" w14:textId="68F342FE" w:rsidR="00455244" w:rsidRPr="00984D13" w:rsidRDefault="00455244">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2F1986E" w14:textId="575E0228" w:rsidR="00455244" w:rsidRPr="00984D13" w:rsidRDefault="00455244">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79718541" w14:textId="4C85AA59" w:rsidR="00455244" w:rsidRPr="00984D13" w:rsidRDefault="00455244">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(-1.6885)</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131211E4" w14:textId="77777777" w:rsidR="00455244" w:rsidRPr="00984D13" w:rsidRDefault="00455244">
            <w:pPr>
              <w:spacing w:after="0" w:line="240" w:lineRule="auto"/>
              <w:jc w:val="center"/>
              <w:rPr>
                <w:rFonts w:ascii="Times New Roman" w:hAnsi="Times New Roman" w:cs="Times New Roman"/>
                <w:sz w:val="20"/>
                <w:szCs w:val="20"/>
              </w:rPr>
            </w:pPr>
          </w:p>
        </w:tc>
      </w:tr>
      <w:tr w:rsidR="00127F0A" w:rsidRPr="008D1DA7" w14:paraId="35215D7D"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7028717C" w14:textId="77777777" w:rsidR="00455244" w:rsidRPr="00CD724E" w:rsidRDefault="00455244" w:rsidP="00455244">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RAM*LAW</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5A96A5FF" w14:textId="77777777" w:rsidR="00455244" w:rsidRPr="00984D13" w:rsidRDefault="00455244" w:rsidP="001578CB">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06AFC87" w14:textId="77777777" w:rsidR="00455244" w:rsidRPr="00984D13" w:rsidRDefault="00455244">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366BF88" w14:textId="3D6CFEB2" w:rsidR="00455244" w:rsidRPr="00984D13" w:rsidRDefault="009A00F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455244" w:rsidRPr="001578CB">
              <w:rPr>
                <w:rFonts w:ascii="Times New Roman" w:hAnsi="Times New Roman" w:cs="Times New Roman"/>
                <w:color w:val="000000"/>
                <w:sz w:val="20"/>
                <w:szCs w:val="20"/>
              </w:rPr>
              <w:t>0.0156</w:t>
            </w:r>
            <w:r w:rsidR="00CA6D06">
              <w:rPr>
                <w:rFonts w:ascii="Times New Roman" w:hAnsi="Times New Roman" w:cs="Times New Roman"/>
                <w:color w:val="000000"/>
                <w:sz w:val="20"/>
                <w:szCs w:val="20"/>
              </w:rPr>
              <w:t>**</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CE7AE2" w14:textId="77777777" w:rsidR="00455244" w:rsidRPr="00984D13" w:rsidRDefault="00455244">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74CE599" w14:textId="66D49057" w:rsidR="00455244" w:rsidRPr="00984D13" w:rsidRDefault="00455244">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C1112F3" w14:textId="67E7DD03" w:rsidR="00455244" w:rsidRPr="00984D13" w:rsidRDefault="00455244">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0610AB21" w14:textId="4120A4F1" w:rsidR="00455244" w:rsidRPr="00984D13" w:rsidRDefault="009A00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455244" w:rsidRPr="001578CB">
              <w:rPr>
                <w:rFonts w:ascii="Times New Roman" w:hAnsi="Times New Roman" w:cs="Times New Roman"/>
                <w:color w:val="000000"/>
                <w:sz w:val="20"/>
                <w:szCs w:val="20"/>
              </w:rPr>
              <w:t>0.2552*</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4881C2F7" w14:textId="77777777" w:rsidR="00455244" w:rsidRPr="00984D13" w:rsidRDefault="00455244">
            <w:pPr>
              <w:spacing w:after="0" w:line="240" w:lineRule="auto"/>
              <w:jc w:val="center"/>
              <w:rPr>
                <w:rFonts w:ascii="Times New Roman" w:hAnsi="Times New Roman" w:cs="Times New Roman"/>
                <w:sz w:val="20"/>
                <w:szCs w:val="20"/>
              </w:rPr>
            </w:pPr>
          </w:p>
        </w:tc>
      </w:tr>
      <w:tr w:rsidR="00127F0A" w:rsidRPr="008D1DA7" w14:paraId="5A5D696C"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5C0C637E" w14:textId="77777777" w:rsidR="00455244" w:rsidRPr="00CD724E" w:rsidRDefault="00455244" w:rsidP="00455244">
            <w:pPr>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251C5DE" w14:textId="77777777" w:rsidR="00455244" w:rsidRPr="00984D13" w:rsidRDefault="00455244" w:rsidP="001578CB">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620C178" w14:textId="77777777" w:rsidR="00455244" w:rsidRPr="00984D13" w:rsidRDefault="00455244">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1AB010B" w14:textId="08B8BB9C" w:rsidR="00455244" w:rsidRPr="00984D13" w:rsidRDefault="00455244">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1.96</w:t>
            </w:r>
            <w:r w:rsidR="00B13F7B">
              <w:rPr>
                <w:rFonts w:ascii="Times New Roman" w:hAnsi="Times New Roman" w:cs="Times New Roman"/>
                <w:color w:val="000000"/>
                <w:sz w:val="20"/>
                <w:szCs w:val="20"/>
              </w:rPr>
              <w:t>5</w:t>
            </w:r>
            <w:r w:rsidRPr="001578CB">
              <w:rPr>
                <w:rFonts w:ascii="Times New Roman" w:hAnsi="Times New Roman" w:cs="Times New Roman"/>
                <w:color w:val="000000"/>
                <w:sz w:val="20"/>
                <w:szCs w:val="20"/>
              </w:rPr>
              <w:t>5)</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53E4ED" w14:textId="77777777" w:rsidR="00455244" w:rsidRPr="00984D13" w:rsidRDefault="00455244">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5824172" w14:textId="5AF3C2C4" w:rsidR="00455244" w:rsidRPr="00984D13" w:rsidRDefault="00455244">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1159B3D" w14:textId="75689217" w:rsidR="00455244" w:rsidRPr="00984D13" w:rsidRDefault="00455244">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24F1516C" w14:textId="1C648240" w:rsidR="00455244" w:rsidRPr="00984D13" w:rsidRDefault="00455244">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Pr="001578CB">
              <w:rPr>
                <w:rFonts w:ascii="Times New Roman" w:hAnsi="Times New Roman" w:cs="Times New Roman"/>
                <w:color w:val="000000"/>
                <w:sz w:val="20"/>
                <w:szCs w:val="20"/>
              </w:rPr>
              <w:t>1.7476)</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58CD630A" w14:textId="77777777" w:rsidR="00455244" w:rsidRPr="00984D13" w:rsidRDefault="00455244">
            <w:pPr>
              <w:spacing w:after="0" w:line="240" w:lineRule="auto"/>
              <w:jc w:val="center"/>
              <w:rPr>
                <w:rFonts w:ascii="Times New Roman" w:hAnsi="Times New Roman" w:cs="Times New Roman"/>
                <w:sz w:val="20"/>
                <w:szCs w:val="20"/>
              </w:rPr>
            </w:pPr>
          </w:p>
        </w:tc>
      </w:tr>
      <w:tr w:rsidR="00127F0A" w:rsidRPr="008D1DA7" w14:paraId="44EEEE83"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4CA23890" w14:textId="77777777" w:rsidR="009E0FA7" w:rsidRPr="00CD724E" w:rsidRDefault="009E0FA7" w:rsidP="009E0FA7">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TAR*LAW</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0660CE79" w14:textId="77777777" w:rsidR="009E0FA7" w:rsidRPr="00984D13" w:rsidRDefault="009E0FA7" w:rsidP="001578CB">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ADDA97C" w14:textId="77777777" w:rsidR="009E0FA7" w:rsidRPr="00984D13" w:rsidRDefault="009E0FA7">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4BBD65C" w14:textId="77777777" w:rsidR="009E0FA7" w:rsidRPr="00984D13" w:rsidRDefault="009E0FA7">
            <w:pPr>
              <w:spacing w:after="0" w:line="240" w:lineRule="auto"/>
              <w:jc w:val="center"/>
              <w:rPr>
                <w:rFonts w:ascii="Times New Roman" w:hAnsi="Times New Roman" w:cs="Times New Roman"/>
                <w:sz w:val="20"/>
                <w:szCs w:val="2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1B58DF" w14:textId="7A62DCC3" w:rsidR="009E0FA7" w:rsidRPr="00984D13" w:rsidRDefault="009A00F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9E0FA7" w:rsidRPr="001578CB">
              <w:rPr>
                <w:rFonts w:ascii="Times New Roman" w:hAnsi="Times New Roman" w:cs="Times New Roman"/>
                <w:color w:val="000000"/>
                <w:sz w:val="20"/>
                <w:szCs w:val="20"/>
              </w:rPr>
              <w:t>0.0</w:t>
            </w:r>
            <w:r w:rsidR="008618E1">
              <w:rPr>
                <w:rFonts w:ascii="Times New Roman" w:hAnsi="Times New Roman" w:cs="Times New Roman"/>
                <w:color w:val="000000"/>
                <w:sz w:val="20"/>
                <w:szCs w:val="20"/>
              </w:rPr>
              <w:t>1</w:t>
            </w:r>
            <w:r w:rsidR="009E0FA7" w:rsidRPr="001578CB">
              <w:rPr>
                <w:rFonts w:ascii="Times New Roman" w:hAnsi="Times New Roman" w:cs="Times New Roman"/>
                <w:color w:val="000000"/>
                <w:sz w:val="20"/>
                <w:szCs w:val="20"/>
              </w:rPr>
              <w:t>42</w:t>
            </w:r>
            <w:r w:rsidR="009F7F00">
              <w:rPr>
                <w:rFonts w:ascii="Times New Roman" w:hAnsi="Times New Roman" w:cs="Times New Roman"/>
                <w:color w:val="000000"/>
                <w:sz w:val="20"/>
                <w:szCs w:val="20"/>
              </w:rPr>
              <w:t>*</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52D2780" w14:textId="77777777" w:rsidR="009E0FA7" w:rsidRPr="00984D13" w:rsidRDefault="009E0FA7">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0510DB9" w14:textId="77777777" w:rsidR="009E0FA7" w:rsidRPr="00984D13" w:rsidRDefault="009E0FA7">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0886333" w14:textId="4769F93A" w:rsidR="009E0FA7" w:rsidRPr="00984D13" w:rsidRDefault="009E0FA7">
            <w:pPr>
              <w:spacing w:after="0" w:line="240" w:lineRule="auto"/>
              <w:jc w:val="center"/>
              <w:rPr>
                <w:rFonts w:ascii="Times New Roman" w:hAnsi="Times New Roman" w:cs="Times New Roman"/>
                <w:color w:val="000000"/>
                <w:sz w:val="20"/>
                <w:szCs w:val="20"/>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1B527212" w14:textId="56540FAB"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w:t>
            </w:r>
            <w:r w:rsidR="00B32988">
              <w:rPr>
                <w:rFonts w:ascii="Times New Roman" w:hAnsi="Times New Roman" w:cs="Times New Roman"/>
                <w:color w:val="000000"/>
                <w:sz w:val="20"/>
                <w:szCs w:val="20"/>
              </w:rPr>
              <w:t>1</w:t>
            </w:r>
            <w:r w:rsidRPr="001578CB">
              <w:rPr>
                <w:rFonts w:ascii="Times New Roman" w:hAnsi="Times New Roman" w:cs="Times New Roman"/>
                <w:color w:val="000000"/>
                <w:sz w:val="20"/>
                <w:szCs w:val="20"/>
              </w:rPr>
              <w:t>48</w:t>
            </w:r>
            <w:r w:rsidR="00B32988">
              <w:rPr>
                <w:rFonts w:ascii="Times New Roman" w:hAnsi="Times New Roman" w:cs="Times New Roman"/>
                <w:color w:val="000000"/>
                <w:sz w:val="20"/>
                <w:szCs w:val="20"/>
              </w:rPr>
              <w:t>**</w:t>
            </w:r>
          </w:p>
        </w:tc>
      </w:tr>
      <w:tr w:rsidR="00127F0A" w:rsidRPr="008D1DA7" w14:paraId="030CE9FB"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1D40E67E" w14:textId="77777777" w:rsidR="009E0FA7" w:rsidRPr="00CD724E" w:rsidRDefault="009E0FA7" w:rsidP="009E0FA7">
            <w:pPr>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5DD72D83" w14:textId="77777777" w:rsidR="009E0FA7" w:rsidRPr="00984D13" w:rsidRDefault="009E0FA7" w:rsidP="001578CB">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2F9EE35" w14:textId="77777777" w:rsidR="009E0FA7" w:rsidRPr="00984D13" w:rsidRDefault="009E0FA7">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9342524" w14:textId="77777777" w:rsidR="009E0FA7" w:rsidRPr="00984D13" w:rsidRDefault="009E0FA7">
            <w:pPr>
              <w:spacing w:after="0" w:line="240" w:lineRule="auto"/>
              <w:jc w:val="center"/>
              <w:rPr>
                <w:rFonts w:ascii="Times New Roman" w:hAnsi="Times New Roman" w:cs="Times New Roman"/>
                <w:sz w:val="20"/>
                <w:szCs w:val="2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81D7A2" w14:textId="507B0EA9" w:rsidR="009E0FA7" w:rsidRPr="00984D13" w:rsidRDefault="009E0FA7">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9A00F9">
              <w:rPr>
                <w:rFonts w:ascii="Times New Roman" w:hAnsi="Times New Roman" w:cs="Times New Roman"/>
                <w:color w:val="000000"/>
                <w:sz w:val="20"/>
                <w:szCs w:val="20"/>
              </w:rPr>
              <w:t>-</w:t>
            </w:r>
            <w:r w:rsidR="008618E1">
              <w:rPr>
                <w:rFonts w:ascii="Times New Roman" w:hAnsi="Times New Roman" w:cs="Times New Roman"/>
                <w:color w:val="000000"/>
                <w:sz w:val="20"/>
                <w:szCs w:val="20"/>
              </w:rPr>
              <w:t>1</w:t>
            </w:r>
            <w:r w:rsidRPr="001578CB">
              <w:rPr>
                <w:rFonts w:ascii="Times New Roman" w:hAnsi="Times New Roman" w:cs="Times New Roman"/>
                <w:color w:val="000000"/>
                <w:sz w:val="20"/>
                <w:szCs w:val="20"/>
              </w:rPr>
              <w:t>.6665)</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03A1780" w14:textId="77777777" w:rsidR="009E0FA7" w:rsidRPr="00984D13" w:rsidRDefault="009E0FA7">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FA46570" w14:textId="77777777" w:rsidR="009E0FA7" w:rsidRPr="00984D13" w:rsidRDefault="009E0FA7">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0D44EA8" w14:textId="1A8A4AE2" w:rsidR="009E0FA7" w:rsidRPr="00984D13" w:rsidRDefault="009E0FA7">
            <w:pPr>
              <w:spacing w:after="0" w:line="240" w:lineRule="auto"/>
              <w:jc w:val="center"/>
              <w:rPr>
                <w:rFonts w:ascii="Times New Roman" w:hAnsi="Times New Roman" w:cs="Times New Roman"/>
                <w:color w:val="000000"/>
                <w:sz w:val="20"/>
                <w:szCs w:val="20"/>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7BDA5C1E" w14:textId="141DC8AF"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B32988">
              <w:rPr>
                <w:rFonts w:ascii="Times New Roman" w:hAnsi="Times New Roman" w:cs="Times New Roman"/>
                <w:color w:val="000000"/>
                <w:sz w:val="20"/>
                <w:szCs w:val="20"/>
              </w:rPr>
              <w:t>2</w:t>
            </w:r>
            <w:r w:rsidRPr="001578CB">
              <w:rPr>
                <w:rFonts w:ascii="Times New Roman" w:hAnsi="Times New Roman" w:cs="Times New Roman"/>
                <w:color w:val="000000"/>
                <w:sz w:val="20"/>
                <w:szCs w:val="20"/>
              </w:rPr>
              <w:t>.0486)</w:t>
            </w:r>
          </w:p>
        </w:tc>
      </w:tr>
      <w:tr w:rsidR="00A5204B" w:rsidRPr="008D1DA7" w14:paraId="45538ECD"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2178F80F" w14:textId="77777777" w:rsidR="009E0FA7" w:rsidRPr="00CD724E" w:rsidRDefault="009E0FA7" w:rsidP="009E0FA7">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LAW</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8D121EE" w14:textId="49B6CA96" w:rsidR="009E0FA7" w:rsidRPr="00984D13" w:rsidRDefault="009E0FA7">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4A0F8712" w14:textId="21B57784" w:rsidR="009E0FA7" w:rsidRPr="00984D13" w:rsidRDefault="009E0FA7">
            <w:pPr>
              <w:spacing w:after="0" w:line="240" w:lineRule="auto"/>
              <w:jc w:val="center"/>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0BD8EB0" w14:textId="0E9D238B"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0.0322</w:t>
            </w:r>
            <w:r w:rsidR="00E93A1C">
              <w:rPr>
                <w:rFonts w:ascii="Times New Roman" w:hAnsi="Times New Roman" w:cs="Times New Roman"/>
                <w:color w:val="000000"/>
                <w:sz w:val="20"/>
                <w:szCs w:val="20"/>
              </w:rPr>
              <w:t>*</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17C4EA" w14:textId="66ABAEB2"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0.0326</w:t>
            </w:r>
            <w:r w:rsidR="00323C42">
              <w:rPr>
                <w:rFonts w:ascii="Times New Roman" w:hAnsi="Times New Roman" w:cs="Times New Roman"/>
                <w:color w:val="000000"/>
                <w:sz w:val="20"/>
                <w:szCs w:val="20"/>
              </w:rPr>
              <w:t>*</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1EA09B8" w14:textId="1DA7CEC4" w:rsidR="009E0FA7" w:rsidRPr="00984D13" w:rsidRDefault="009E0FA7">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A83A0F9" w14:textId="011F024C" w:rsidR="009E0FA7" w:rsidRPr="00984D13" w:rsidRDefault="009E0FA7">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06C35517" w14:textId="744811DC"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0.0069</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0EA404A9" w14:textId="01D59C41"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0.0374</w:t>
            </w:r>
            <w:r w:rsidR="00E92CCB">
              <w:rPr>
                <w:rFonts w:ascii="Times New Roman" w:hAnsi="Times New Roman" w:cs="Times New Roman"/>
                <w:color w:val="000000"/>
                <w:sz w:val="20"/>
                <w:szCs w:val="20"/>
              </w:rPr>
              <w:t>**</w:t>
            </w:r>
          </w:p>
        </w:tc>
      </w:tr>
      <w:tr w:rsidR="00A5204B" w:rsidRPr="008D1DA7" w14:paraId="74E71549"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319A2C49" w14:textId="77777777" w:rsidR="009E0FA7" w:rsidRPr="00CD724E" w:rsidRDefault="009E0FA7" w:rsidP="009E0FA7">
            <w:pPr>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2A1AFE2" w14:textId="3D0843D4" w:rsidR="009E0FA7" w:rsidRPr="00984D13" w:rsidRDefault="009E0FA7">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0FE52FE5" w14:textId="0486A8D9" w:rsidR="009E0FA7" w:rsidRPr="00984D13" w:rsidRDefault="009E0FA7">
            <w:pPr>
              <w:spacing w:after="0" w:line="240" w:lineRule="auto"/>
              <w:jc w:val="center"/>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6B1FE9" w14:textId="0AD76D03"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(1.8</w:t>
            </w:r>
            <w:r w:rsidR="00405ED3">
              <w:rPr>
                <w:rFonts w:ascii="Times New Roman" w:hAnsi="Times New Roman" w:cs="Times New Roman"/>
                <w:color w:val="000000"/>
                <w:sz w:val="20"/>
                <w:szCs w:val="20"/>
              </w:rPr>
              <w:t>5</w:t>
            </w:r>
            <w:r w:rsidRPr="001578CB">
              <w:rPr>
                <w:rFonts w:ascii="Times New Roman" w:hAnsi="Times New Roman" w:cs="Times New Roman"/>
                <w:color w:val="000000"/>
                <w:sz w:val="20"/>
                <w:szCs w:val="20"/>
              </w:rPr>
              <w:t>56)</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6B41592" w14:textId="431B30AF"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w:t>
            </w:r>
            <w:r w:rsidR="00323C42">
              <w:rPr>
                <w:rFonts w:ascii="Times New Roman" w:hAnsi="Times New Roman" w:cs="Times New Roman"/>
                <w:color w:val="000000"/>
                <w:sz w:val="20"/>
                <w:szCs w:val="20"/>
              </w:rPr>
              <w:t>7</w:t>
            </w:r>
            <w:r w:rsidRPr="001578CB">
              <w:rPr>
                <w:rFonts w:ascii="Times New Roman" w:hAnsi="Times New Roman" w:cs="Times New Roman"/>
                <w:color w:val="000000"/>
                <w:sz w:val="20"/>
                <w:szCs w:val="20"/>
              </w:rPr>
              <w:t>020)</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5AC5968" w14:textId="16D82E0B" w:rsidR="009E0FA7" w:rsidRPr="00984D13" w:rsidRDefault="009E0FA7">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2FEEBCAE" w14:textId="49B3EEAD" w:rsidR="009E0FA7" w:rsidRPr="00984D13" w:rsidRDefault="009E0FA7">
            <w:pPr>
              <w:spacing w:after="0" w:line="240" w:lineRule="auto"/>
              <w:jc w:val="center"/>
              <w:rPr>
                <w:rFonts w:ascii="Times New Roman" w:hAnsi="Times New Roman" w:cs="Times New Roman"/>
                <w:color w:val="000000"/>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74C92724" w14:textId="10306CE8"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(0.0594)</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3EF784D" w14:textId="244B311B" w:rsidR="009E0FA7" w:rsidRPr="00984D13" w:rsidRDefault="009E0FA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A3107A">
              <w:rPr>
                <w:rFonts w:ascii="Times New Roman" w:hAnsi="Times New Roman" w:cs="Times New Roman"/>
                <w:color w:val="000000"/>
                <w:sz w:val="20"/>
                <w:szCs w:val="20"/>
              </w:rPr>
              <w:t>2</w:t>
            </w:r>
            <w:r w:rsidRPr="001578CB">
              <w:rPr>
                <w:rFonts w:ascii="Times New Roman" w:hAnsi="Times New Roman" w:cs="Times New Roman"/>
                <w:color w:val="000000"/>
                <w:sz w:val="20"/>
                <w:szCs w:val="20"/>
              </w:rPr>
              <w:t>.3222)</w:t>
            </w:r>
          </w:p>
        </w:tc>
      </w:tr>
      <w:tr w:rsidR="00127F0A" w:rsidRPr="008D1DA7" w14:paraId="7D3F327B"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66B99D26" w14:textId="77777777" w:rsidR="00DC3F58" w:rsidRPr="00CD724E" w:rsidRDefault="00DC3F58" w:rsidP="00DC3F58">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Constant</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9CEA8CC" w14:textId="4EF2391E"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-0.0689*</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82E8CD4" w14:textId="5914F0FD"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-0.0696*</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CDD5816" w14:textId="7DFE8978"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-0.0623*</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89313D" w14:textId="1B4BBF47"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-0.0635*</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432C4B4" w14:textId="44A45E7D"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0.2581*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AB11B89" w14:textId="06B9B112"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0.2611*</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77A3135" w14:textId="28F75E78"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0.2866</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05BEA150" w14:textId="7399797F"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0.2522</w:t>
            </w:r>
          </w:p>
        </w:tc>
      </w:tr>
      <w:tr w:rsidR="00127F0A" w:rsidRPr="008D1DA7" w14:paraId="0D7E98D5"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7C809044" w14:textId="77777777" w:rsidR="00DC3F58" w:rsidRPr="00CD724E" w:rsidRDefault="00DC3F58" w:rsidP="00DC3F58">
            <w:pPr>
              <w:spacing w:after="0" w:line="240" w:lineRule="auto"/>
              <w:jc w:val="center"/>
              <w:rPr>
                <w:rFonts w:ascii="Times New Roman" w:hAnsi="Times New Roman" w:cs="Times New Roman"/>
                <w:color w:val="000000"/>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B2B7D02" w14:textId="0DEA5991"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(-1.9394)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E679CC0" w14:textId="69642EEF"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(-1.9574)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7F568A9" w14:textId="40B33D22"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(-1.6934)</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CBCFF6C" w14:textId="3B971783"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(-1.7229)</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99FBEE2" w14:textId="4574DAE5"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(1.6913)</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06AA61D" w14:textId="6D5563D2"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(1.7079)</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2673815A" w14:textId="502569F4"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(1.2056)</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383612DE" w14:textId="382E4B44" w:rsidR="00DC3F58" w:rsidRPr="00984D13" w:rsidRDefault="00DC3F5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(1.0591)</w:t>
            </w:r>
          </w:p>
        </w:tc>
      </w:tr>
      <w:tr w:rsidR="00A5204B" w:rsidRPr="008D1DA7" w14:paraId="03D162D4"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4CB9D01C" w14:textId="77777777" w:rsidR="00E75410" w:rsidRPr="00CD724E" w:rsidRDefault="00E75410" w:rsidP="00CD724E">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RAM-AEM</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F71ACE0" w14:textId="382E1641" w:rsidR="00E75410" w:rsidRPr="00984D13" w:rsidRDefault="008B28CE" w:rsidP="00CD72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-0.0544</w:t>
            </w:r>
            <w:r w:rsidR="000A27E3">
              <w:rPr>
                <w:rFonts w:ascii="Times New Roman" w:hAnsi="Times New Roman" w:cs="Times New Roman"/>
                <w:color w:val="000000"/>
                <w:sz w:val="20"/>
                <w:szCs w:val="20"/>
              </w:rPr>
              <w: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1701B3AB" w14:textId="4CCCAC44" w:rsidR="00E75410" w:rsidRPr="00984D13" w:rsidRDefault="00E75410" w:rsidP="00CD724E">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tcPr>
          <w:p w14:paraId="375653A1" w14:textId="22DC4792" w:rsidR="00E75410" w:rsidRPr="00984D13" w:rsidRDefault="009C1995"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r w:rsidR="00CC2B7E">
              <w:rPr>
                <w:rFonts w:ascii="Times New Roman" w:hAnsi="Times New Roman" w:cs="Times New Roman"/>
                <w:sz w:val="20"/>
                <w:szCs w:val="20"/>
              </w:rPr>
              <w:t>170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5D31D49"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F172C2D" w14:textId="65768D35" w:rsidR="00E75410" w:rsidRPr="00984D13" w:rsidRDefault="00D31522"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A51AD">
              <w:rPr>
                <w:rFonts w:ascii="Times New Roman" w:hAnsi="Times New Roman" w:cs="Times New Roman"/>
                <w:sz w:val="20"/>
                <w:szCs w:val="20"/>
              </w:rPr>
              <w:t>0.0997</w:t>
            </w:r>
            <w:r w:rsidR="001F7D27">
              <w:rPr>
                <w:rFonts w:ascii="Times New Roman" w:hAnsi="Times New Roman" w:cs="Times New Roman"/>
                <w:sz w:val="20"/>
                <w:szCs w:val="20"/>
              </w:rPr>
              <w: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070665BC" w14:textId="4D635F99" w:rsidR="00E75410" w:rsidRPr="00984D13" w:rsidRDefault="00E75410" w:rsidP="00CD724E">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1B79974B" w14:textId="53918DAD" w:rsidR="00E75410" w:rsidRPr="00984D13" w:rsidRDefault="00D31522"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F139AD">
              <w:rPr>
                <w:rFonts w:ascii="Times New Roman" w:hAnsi="Times New Roman" w:cs="Times New Roman"/>
                <w:sz w:val="20"/>
                <w:szCs w:val="20"/>
              </w:rPr>
              <w:t>0.1404</w:t>
            </w:r>
            <w:r w:rsidR="001F7D27">
              <w:rPr>
                <w:rFonts w:ascii="Times New Roman" w:hAnsi="Times New Roman" w:cs="Times New Roman"/>
                <w:sz w:val="20"/>
                <w:szCs w:val="20"/>
              </w:rPr>
              <w:t>***</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22ADE25A" w14:textId="77777777" w:rsidR="00E75410" w:rsidRPr="00984D13" w:rsidRDefault="00E75410" w:rsidP="00CD724E">
            <w:pPr>
              <w:spacing w:after="0" w:line="240" w:lineRule="auto"/>
              <w:jc w:val="center"/>
              <w:rPr>
                <w:rFonts w:ascii="Times New Roman" w:hAnsi="Times New Roman" w:cs="Times New Roman"/>
                <w:sz w:val="20"/>
                <w:szCs w:val="20"/>
              </w:rPr>
            </w:pPr>
          </w:p>
        </w:tc>
      </w:tr>
      <w:tr w:rsidR="00A5204B" w:rsidRPr="008D1DA7" w14:paraId="7CA0B545"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12C9011C" w14:textId="77777777" w:rsidR="00E75410" w:rsidRPr="00CD724E" w:rsidRDefault="00E75410" w:rsidP="00CD724E">
            <w:pPr>
              <w:spacing w:after="0" w:line="240" w:lineRule="auto"/>
              <w:rPr>
                <w:rFonts w:ascii="Times New Roman" w:hAnsi="Times New Roman" w:cs="Times New Roman"/>
                <w:i/>
                <w:iCs/>
                <w:color w:val="000000"/>
                <w:sz w:val="20"/>
                <w:szCs w:val="20"/>
              </w:rPr>
            </w:pPr>
            <w:r w:rsidRPr="00CD724E">
              <w:rPr>
                <w:rFonts w:ascii="Times New Roman" w:hAnsi="Times New Roman" w:cs="Times New Roman"/>
                <w:i/>
                <w:iCs/>
                <w:color w:val="000000"/>
                <w:sz w:val="20"/>
                <w:szCs w:val="20"/>
              </w:rPr>
              <w:t>(F-statistics)</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43C5B73" w14:textId="777D838E" w:rsidR="00E75410" w:rsidRPr="00984D13" w:rsidRDefault="000A27E3" w:rsidP="00CD72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[72.88]</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A8D212B" w14:textId="439909B7" w:rsidR="00E75410" w:rsidRPr="00984D13" w:rsidRDefault="00E75410" w:rsidP="00CD724E">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tcPr>
          <w:p w14:paraId="733E5904" w14:textId="02013CD9" w:rsidR="00E75410" w:rsidRPr="00984D13" w:rsidRDefault="00E1188F"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9E9EBF5"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E0DF96F" w14:textId="5EA65BD3" w:rsidR="00E75410" w:rsidRPr="00984D13" w:rsidRDefault="002B084D"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3F2BEA">
              <w:rPr>
                <w:rFonts w:ascii="Times New Roman" w:hAnsi="Times New Roman" w:cs="Times New Roman"/>
                <w:sz w:val="20"/>
                <w:szCs w:val="20"/>
              </w:rPr>
              <w:t>5.90]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926F296" w14:textId="25129F55" w:rsidR="00E75410" w:rsidRPr="00984D13" w:rsidRDefault="00E75410" w:rsidP="00CD724E">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46354779" w14:textId="7907A41F" w:rsidR="00E75410" w:rsidRPr="00984D13" w:rsidRDefault="001F7D27"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[8.02]</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0503C4C7" w14:textId="77777777" w:rsidR="00E75410" w:rsidRPr="00984D13" w:rsidRDefault="00E75410" w:rsidP="00CD724E">
            <w:pPr>
              <w:spacing w:after="0" w:line="240" w:lineRule="auto"/>
              <w:jc w:val="center"/>
              <w:rPr>
                <w:rFonts w:ascii="Times New Roman" w:hAnsi="Times New Roman" w:cs="Times New Roman"/>
                <w:sz w:val="20"/>
                <w:szCs w:val="20"/>
              </w:rPr>
            </w:pPr>
          </w:p>
        </w:tc>
      </w:tr>
      <w:tr w:rsidR="00A5204B" w:rsidRPr="008D1DA7" w14:paraId="0B866DB2"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3C571400" w14:textId="77777777" w:rsidR="00E75410" w:rsidRPr="00CD724E" w:rsidRDefault="00E75410" w:rsidP="00CD724E">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RAM*LAW</w:t>
            </w:r>
            <w:r w:rsidRPr="008D1DA7">
              <w:rPr>
                <w:rFonts w:ascii="Times New Roman" w:eastAsia="Times New Roman" w:hAnsi="Times New Roman" w:cs="Times New Roman"/>
                <w:sz w:val="20"/>
                <w:szCs w:val="20"/>
                <w:lang w:eastAsia="en-NZ"/>
              </w:rPr>
              <w:t>-AEM*LAW</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3A70842" w14:textId="77777777" w:rsidR="00E75410" w:rsidRPr="00984D13" w:rsidRDefault="00E75410" w:rsidP="00CD724E">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69F4B805"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tcPr>
          <w:p w14:paraId="6C449552" w14:textId="2490B672" w:rsidR="00E75410" w:rsidRPr="00984D13" w:rsidRDefault="000678CB"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-0.0079</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E214E25"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EBFB5E2" w14:textId="672400DC" w:rsidR="00E75410" w:rsidRPr="00984D13" w:rsidRDefault="00E75410" w:rsidP="00CD724E">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1BB19424" w14:textId="7912ECC5" w:rsidR="00E75410" w:rsidRPr="00984D13" w:rsidRDefault="00E75410" w:rsidP="00CD724E">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068CF86E" w14:textId="7EF976D3" w:rsidR="00E75410" w:rsidRPr="00984D13" w:rsidRDefault="00137CC4"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2D07FA">
              <w:rPr>
                <w:rFonts w:ascii="Times New Roman" w:hAnsi="Times New Roman" w:cs="Times New Roman"/>
                <w:sz w:val="20"/>
                <w:szCs w:val="20"/>
              </w:rPr>
              <w:t>0.0242</w:t>
            </w:r>
            <w:r w:rsidR="00E51D59">
              <w:rPr>
                <w:rFonts w:ascii="Times New Roman" w:hAnsi="Times New Roman" w:cs="Times New Roman"/>
                <w:sz w:val="20"/>
                <w:szCs w:val="20"/>
              </w:rPr>
              <w:t>***</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9235525" w14:textId="77777777" w:rsidR="00E75410" w:rsidRPr="00984D13" w:rsidRDefault="00E75410" w:rsidP="00CD724E">
            <w:pPr>
              <w:spacing w:after="0" w:line="240" w:lineRule="auto"/>
              <w:jc w:val="center"/>
              <w:rPr>
                <w:rFonts w:ascii="Times New Roman" w:hAnsi="Times New Roman" w:cs="Times New Roman"/>
                <w:sz w:val="20"/>
                <w:szCs w:val="20"/>
              </w:rPr>
            </w:pPr>
          </w:p>
        </w:tc>
      </w:tr>
      <w:tr w:rsidR="00127F0A" w:rsidRPr="008D1DA7" w14:paraId="4323281C"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3F2B05CE" w14:textId="77777777" w:rsidR="00E75410" w:rsidRPr="00CD724E" w:rsidRDefault="00E75410" w:rsidP="00CD724E">
            <w:pPr>
              <w:spacing w:after="0" w:line="240" w:lineRule="auto"/>
              <w:rPr>
                <w:rFonts w:ascii="Times New Roman" w:hAnsi="Times New Roman" w:cs="Times New Roman"/>
                <w:i/>
                <w:iCs/>
                <w:color w:val="000000"/>
                <w:sz w:val="20"/>
                <w:szCs w:val="20"/>
              </w:rPr>
            </w:pPr>
            <w:r w:rsidRPr="00CD724E">
              <w:rPr>
                <w:rFonts w:ascii="Times New Roman" w:hAnsi="Times New Roman" w:cs="Times New Roman"/>
                <w:i/>
                <w:iCs/>
                <w:color w:val="000000"/>
                <w:sz w:val="20"/>
                <w:szCs w:val="20"/>
              </w:rPr>
              <w:t>(F-statistics)</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08A75E4" w14:textId="77777777" w:rsidR="00E75410" w:rsidRPr="00984D13" w:rsidRDefault="00E75410" w:rsidP="00CD724E">
            <w:pPr>
              <w:spacing w:after="0" w:line="240" w:lineRule="auto"/>
              <w:jc w:val="center"/>
              <w:rPr>
                <w:rFonts w:ascii="Times New Roman" w:hAnsi="Times New Roman" w:cs="Times New Roman"/>
                <w:i/>
                <w:iCs/>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AD9A5AA"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AB52BB8" w14:textId="6276B431" w:rsidR="00E75410" w:rsidRPr="00984D13" w:rsidRDefault="000678CB"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5B1E30"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9A20A4E" w14:textId="5049ECBA" w:rsidR="00E75410" w:rsidRPr="00984D13" w:rsidRDefault="00E75410" w:rsidP="00CD724E">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28721759" w14:textId="6B41D6C7" w:rsidR="00E75410" w:rsidRPr="00984D13" w:rsidRDefault="00E75410" w:rsidP="00CD724E">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3BF66FF9" w14:textId="18FDFC42" w:rsidR="00E75410" w:rsidRPr="00984D13" w:rsidRDefault="00E51D59"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[5.67]</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78327799" w14:textId="77777777" w:rsidR="00E75410" w:rsidRPr="00984D13" w:rsidRDefault="00E75410" w:rsidP="00CD724E">
            <w:pPr>
              <w:spacing w:after="0" w:line="240" w:lineRule="auto"/>
              <w:jc w:val="center"/>
              <w:rPr>
                <w:rFonts w:ascii="Times New Roman" w:hAnsi="Times New Roman" w:cs="Times New Roman"/>
                <w:sz w:val="20"/>
                <w:szCs w:val="20"/>
              </w:rPr>
            </w:pPr>
          </w:p>
        </w:tc>
      </w:tr>
      <w:tr w:rsidR="00E75410" w:rsidRPr="008D1DA7" w14:paraId="2549750C" w14:textId="77777777" w:rsidTr="001578CB">
        <w:trPr>
          <w:trHeight w:val="65"/>
        </w:trPr>
        <w:tc>
          <w:tcPr>
            <w:tcW w:w="453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C69A02" w14:textId="77777777" w:rsidR="00E75410" w:rsidRPr="00984D13" w:rsidRDefault="00E75410" w:rsidP="00CD724E">
            <w:pPr>
              <w:spacing w:after="0" w:line="240" w:lineRule="auto"/>
              <w:rPr>
                <w:rFonts w:ascii="Times New Roman" w:hAnsi="Times New Roman" w:cs="Times New Roman"/>
                <w:sz w:val="20"/>
                <w:szCs w:val="20"/>
              </w:rPr>
            </w:pPr>
            <w:r w:rsidRPr="00984D13">
              <w:rPr>
                <w:rFonts w:ascii="Times New Roman" w:hAnsi="Times New Roman" w:cs="Times New Roman"/>
                <w:color w:val="000000"/>
                <w:sz w:val="20"/>
                <w:szCs w:val="20"/>
              </w:rPr>
              <w:t>[RAM+RAM*LAW]-[AEM+AEM*LAW]</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C0EFE6A"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43117B" w14:textId="55F7434D" w:rsidR="00E75410" w:rsidRPr="00984D13" w:rsidRDefault="00D72A90"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-0.0249</w:t>
            </w:r>
            <w:r w:rsidR="00650C1C">
              <w:rPr>
                <w:rFonts w:ascii="Times New Roman" w:hAnsi="Times New Roman" w:cs="Times New Roman"/>
                <w:sz w:val="20"/>
                <w:szCs w:val="20"/>
              </w:rPr>
              <w:t>***</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60287F5"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A26878A" w14:textId="00121429" w:rsidR="00E75410" w:rsidRPr="00984D13" w:rsidRDefault="00E75410" w:rsidP="00CD724E">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32A8230" w14:textId="0AF02D78" w:rsidR="00E75410" w:rsidRPr="00984D13" w:rsidRDefault="00E75410" w:rsidP="00CD724E">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20D1491A" w14:textId="4B5943A3" w:rsidR="00E75410" w:rsidRPr="00984D13" w:rsidRDefault="00137CC4"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-0.1646</w:t>
            </w:r>
            <w:r w:rsidR="00E51D59">
              <w:rPr>
                <w:rFonts w:ascii="Times New Roman" w:hAnsi="Times New Roman" w:cs="Times New Roman"/>
                <w:sz w:val="20"/>
                <w:szCs w:val="20"/>
              </w:rPr>
              <w:t>***</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17EE1FDF" w14:textId="77777777" w:rsidR="00E75410" w:rsidRPr="00984D13" w:rsidRDefault="00E75410" w:rsidP="00CD724E">
            <w:pPr>
              <w:spacing w:after="0" w:line="240" w:lineRule="auto"/>
              <w:jc w:val="center"/>
              <w:rPr>
                <w:rFonts w:ascii="Times New Roman" w:hAnsi="Times New Roman" w:cs="Times New Roman"/>
                <w:sz w:val="20"/>
                <w:szCs w:val="20"/>
              </w:rPr>
            </w:pPr>
          </w:p>
        </w:tc>
      </w:tr>
      <w:tr w:rsidR="00127F0A" w:rsidRPr="008D1DA7" w14:paraId="0A788415"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0E1C0855" w14:textId="77777777" w:rsidR="00E75410" w:rsidRPr="00CD724E" w:rsidRDefault="00E75410" w:rsidP="00CD724E">
            <w:pPr>
              <w:spacing w:after="0" w:line="240" w:lineRule="auto"/>
              <w:rPr>
                <w:rFonts w:ascii="Times New Roman" w:hAnsi="Times New Roman" w:cs="Times New Roman"/>
                <w:i/>
                <w:iCs/>
                <w:color w:val="000000"/>
                <w:sz w:val="20"/>
                <w:szCs w:val="20"/>
              </w:rPr>
            </w:pPr>
            <w:r w:rsidRPr="00CD724E">
              <w:rPr>
                <w:rFonts w:ascii="Times New Roman" w:hAnsi="Times New Roman" w:cs="Times New Roman"/>
                <w:i/>
                <w:iCs/>
                <w:color w:val="000000"/>
                <w:sz w:val="20"/>
                <w:szCs w:val="20"/>
              </w:rPr>
              <w:t>(F-statistics)</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478567B" w14:textId="77777777" w:rsidR="00E75410" w:rsidRPr="00984D13" w:rsidRDefault="00E75410" w:rsidP="00CD724E">
            <w:pPr>
              <w:spacing w:after="0" w:line="240" w:lineRule="auto"/>
              <w:rPr>
                <w:rFonts w:ascii="Times New Roman" w:hAnsi="Times New Roman" w:cs="Times New Roman"/>
                <w:i/>
                <w:iCs/>
                <w:color w:val="000000"/>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79A8FF6"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F91C40E" w14:textId="4F059BF9" w:rsidR="00E75410" w:rsidRPr="00984D13" w:rsidRDefault="00650C1C"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[13.94]</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1B3850" w14:textId="77777777" w:rsidR="00E75410" w:rsidRPr="00984D13" w:rsidRDefault="00E75410" w:rsidP="00CD724E">
            <w:pPr>
              <w:spacing w:after="0" w:line="240" w:lineRule="auto"/>
              <w:jc w:val="center"/>
              <w:rPr>
                <w:rFonts w:ascii="Times New Roman" w:hAnsi="Times New Roman" w:cs="Times New Roman"/>
                <w:sz w:val="20"/>
                <w:szCs w:val="20"/>
              </w:rPr>
            </w:pP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D4C05D8" w14:textId="2053ABAA" w:rsidR="00E75410" w:rsidRPr="00984D13" w:rsidRDefault="00E75410" w:rsidP="00CD724E">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888EC76" w14:textId="509C1CAB" w:rsidR="00E75410" w:rsidRPr="00984D13" w:rsidRDefault="00E75410" w:rsidP="00CD724E">
            <w:pPr>
              <w:spacing w:after="0" w:line="240" w:lineRule="auto"/>
              <w:jc w:val="cente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17E43F2A" w14:textId="19477140" w:rsidR="00E75410" w:rsidRPr="00984D13" w:rsidRDefault="00AE2528" w:rsidP="00CD72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2A57EEFF" w14:textId="77777777" w:rsidR="00E75410" w:rsidRPr="00984D13" w:rsidRDefault="00E75410" w:rsidP="00CD724E">
            <w:pPr>
              <w:spacing w:after="0" w:line="240" w:lineRule="auto"/>
              <w:jc w:val="center"/>
              <w:rPr>
                <w:rFonts w:ascii="Times New Roman" w:hAnsi="Times New Roman" w:cs="Times New Roman"/>
                <w:sz w:val="20"/>
                <w:szCs w:val="20"/>
              </w:rPr>
            </w:pPr>
          </w:p>
        </w:tc>
      </w:tr>
      <w:tr w:rsidR="0000693C" w:rsidRPr="008D1DA7" w14:paraId="5FD1A974"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tcPr>
          <w:p w14:paraId="03619BAA" w14:textId="37E281A6" w:rsidR="0000693C" w:rsidRPr="00CD724E" w:rsidRDefault="0000693C" w:rsidP="0000693C">
            <w:pPr>
              <w:spacing w:after="0" w:line="240" w:lineRule="auto"/>
              <w:rPr>
                <w:rFonts w:ascii="Times New Roman" w:hAnsi="Times New Roman" w:cs="Times New Roman"/>
                <w:i/>
                <w:iCs/>
                <w:color w:val="000000"/>
                <w:sz w:val="20"/>
                <w:szCs w:val="20"/>
              </w:rPr>
            </w:pPr>
            <w:r w:rsidRPr="00C840D6">
              <w:rPr>
                <w:rFonts w:ascii="Times New Roman" w:eastAsia="Times New Roman" w:hAnsi="Times New Roman" w:cs="Times New Roman"/>
                <w:sz w:val="20"/>
                <w:szCs w:val="20"/>
                <w:lang w:eastAsia="en-NZ"/>
              </w:rPr>
              <w:t>Controls</w:t>
            </w:r>
          </w:p>
        </w:tc>
        <w:tc>
          <w:tcPr>
            <w:tcW w:w="1275" w:type="dxa"/>
            <w:tcBorders>
              <w:top w:val="nil"/>
              <w:left w:val="nil"/>
              <w:bottom w:val="nil"/>
              <w:right w:val="nil"/>
            </w:tcBorders>
            <w:shd w:val="clear" w:color="auto" w:fill="auto"/>
            <w:noWrap/>
            <w:tcMar>
              <w:top w:w="15" w:type="dxa"/>
              <w:left w:w="15" w:type="dxa"/>
              <w:bottom w:w="0" w:type="dxa"/>
              <w:right w:w="15" w:type="dxa"/>
            </w:tcMar>
          </w:tcPr>
          <w:p w14:paraId="529D8CCB" w14:textId="07949E0A" w:rsidR="0000693C" w:rsidRPr="00984D13" w:rsidRDefault="0000693C" w:rsidP="001578CB">
            <w:pPr>
              <w:spacing w:after="0" w:line="240" w:lineRule="auto"/>
              <w:jc w:val="center"/>
              <w:rPr>
                <w:rFonts w:ascii="Times New Roman" w:hAnsi="Times New Roman" w:cs="Times New Roman"/>
                <w:i/>
                <w:iCs/>
                <w:color w:val="000000"/>
                <w:sz w:val="20"/>
                <w:szCs w:val="20"/>
              </w:rPr>
            </w:pPr>
            <w:r w:rsidRPr="00984D13">
              <w:rPr>
                <w:rFonts w:ascii="Times New Roman" w:eastAsia="Times New Roman" w:hAnsi="Times New Roman" w:cs="Times New Roman"/>
                <w:sz w:val="20"/>
                <w:szCs w:val="20"/>
                <w:lang w:eastAsia="en-NZ"/>
              </w:rPr>
              <w:t>Yes</w:t>
            </w:r>
          </w:p>
        </w:tc>
        <w:tc>
          <w:tcPr>
            <w:tcW w:w="1276" w:type="dxa"/>
            <w:tcBorders>
              <w:top w:val="nil"/>
              <w:left w:val="nil"/>
              <w:bottom w:val="nil"/>
              <w:right w:val="nil"/>
            </w:tcBorders>
            <w:shd w:val="clear" w:color="auto" w:fill="auto"/>
            <w:noWrap/>
            <w:tcMar>
              <w:top w:w="15" w:type="dxa"/>
              <w:left w:w="15" w:type="dxa"/>
              <w:bottom w:w="0" w:type="dxa"/>
              <w:right w:w="15" w:type="dxa"/>
            </w:tcMar>
          </w:tcPr>
          <w:p w14:paraId="012F1EE4" w14:textId="6B7FAC37"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c>
          <w:tcPr>
            <w:tcW w:w="1418" w:type="dxa"/>
            <w:tcBorders>
              <w:top w:val="nil"/>
              <w:left w:val="nil"/>
              <w:bottom w:val="nil"/>
              <w:right w:val="nil"/>
            </w:tcBorders>
            <w:shd w:val="clear" w:color="auto" w:fill="auto"/>
            <w:noWrap/>
            <w:tcMar>
              <w:top w:w="15" w:type="dxa"/>
              <w:left w:w="15" w:type="dxa"/>
              <w:bottom w:w="0" w:type="dxa"/>
              <w:right w:w="15" w:type="dxa"/>
            </w:tcMar>
          </w:tcPr>
          <w:p w14:paraId="07C0CDD3" w14:textId="006B77C3"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tcPr>
          <w:p w14:paraId="0AA4C597" w14:textId="1BFE97DE"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tcPr>
          <w:p w14:paraId="6E3CD7BB" w14:textId="1114EA0E"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c>
          <w:tcPr>
            <w:tcW w:w="1276" w:type="dxa"/>
            <w:tcBorders>
              <w:top w:val="nil"/>
              <w:left w:val="nil"/>
              <w:bottom w:val="nil"/>
              <w:right w:val="nil"/>
            </w:tcBorders>
            <w:shd w:val="clear" w:color="auto" w:fill="auto"/>
            <w:noWrap/>
            <w:tcMar>
              <w:top w:w="15" w:type="dxa"/>
              <w:left w:w="15" w:type="dxa"/>
              <w:bottom w:w="0" w:type="dxa"/>
              <w:right w:w="15" w:type="dxa"/>
            </w:tcMar>
          </w:tcPr>
          <w:p w14:paraId="2F2D0706" w14:textId="5C25D4AC"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c>
          <w:tcPr>
            <w:tcW w:w="1359" w:type="dxa"/>
            <w:tcBorders>
              <w:top w:val="nil"/>
              <w:left w:val="nil"/>
              <w:bottom w:val="nil"/>
              <w:right w:val="nil"/>
            </w:tcBorders>
            <w:shd w:val="clear" w:color="auto" w:fill="auto"/>
            <w:noWrap/>
            <w:tcMar>
              <w:top w:w="15" w:type="dxa"/>
              <w:left w:w="15" w:type="dxa"/>
              <w:bottom w:w="0" w:type="dxa"/>
              <w:right w:w="15" w:type="dxa"/>
            </w:tcMar>
          </w:tcPr>
          <w:p w14:paraId="6D734A91" w14:textId="325CBCC0"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c>
          <w:tcPr>
            <w:tcW w:w="1411" w:type="dxa"/>
            <w:tcBorders>
              <w:top w:val="nil"/>
              <w:left w:val="nil"/>
              <w:bottom w:val="nil"/>
              <w:right w:val="nil"/>
            </w:tcBorders>
            <w:shd w:val="clear" w:color="auto" w:fill="auto"/>
            <w:noWrap/>
            <w:tcMar>
              <w:top w:w="15" w:type="dxa"/>
              <w:left w:w="15" w:type="dxa"/>
              <w:bottom w:w="0" w:type="dxa"/>
              <w:right w:w="15" w:type="dxa"/>
            </w:tcMar>
          </w:tcPr>
          <w:p w14:paraId="7B009143" w14:textId="2AC1EBAA" w:rsidR="0000693C" w:rsidRPr="00984D13" w:rsidRDefault="0000693C" w:rsidP="0000693C">
            <w:pPr>
              <w:spacing w:after="0" w:line="240" w:lineRule="auto"/>
              <w:jc w:val="center"/>
              <w:rPr>
                <w:rFonts w:ascii="Times New Roman" w:hAnsi="Times New Roman" w:cs="Times New Roman"/>
                <w:sz w:val="20"/>
                <w:szCs w:val="20"/>
              </w:rPr>
            </w:pPr>
            <w:r w:rsidRPr="00984D13">
              <w:rPr>
                <w:rFonts w:ascii="Times New Roman" w:eastAsia="Times New Roman" w:hAnsi="Times New Roman" w:cs="Times New Roman"/>
                <w:sz w:val="20"/>
                <w:szCs w:val="20"/>
                <w:lang w:eastAsia="en-NZ"/>
              </w:rPr>
              <w:t>Yes</w:t>
            </w:r>
          </w:p>
        </w:tc>
      </w:tr>
      <w:tr w:rsidR="00127F0A" w:rsidRPr="008D1DA7" w14:paraId="37BD20AE"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4C6FCC21" w14:textId="77777777" w:rsidR="0000693C" w:rsidRPr="00CD724E" w:rsidRDefault="0000693C" w:rsidP="0000693C">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Industry FE</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7F6F829"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89B257E"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2FA427E"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D5AEF1"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1A54537"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C5D3DE0"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301B8D9F"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2C14DF09"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r>
      <w:tr w:rsidR="00127F0A" w:rsidRPr="008D1DA7" w14:paraId="0571D31E"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7AB9B607" w14:textId="77777777" w:rsidR="0000693C" w:rsidRPr="00CD724E" w:rsidRDefault="0000693C" w:rsidP="0000693C">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Year FE</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418918B0"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384F260"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E532FEE"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629C3F"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A10EE1C"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68B7E1E"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2072057D"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514955EA"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Yes</w:t>
            </w:r>
          </w:p>
        </w:tc>
      </w:tr>
      <w:tr w:rsidR="00127F0A" w:rsidRPr="008D1DA7" w14:paraId="353AF549" w14:textId="77777777" w:rsidTr="001578CB">
        <w:trPr>
          <w:trHeight w:val="65"/>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7ABCE8F5" w14:textId="77777777" w:rsidR="0000693C" w:rsidRPr="00CD724E" w:rsidRDefault="0000693C" w:rsidP="0000693C">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Observations</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3C41EEA6"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86D22A8"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1DD76465"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33369A"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313"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6C2AFD4"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5E0117D"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500BA819"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A3CB00E" w14:textId="77777777" w:rsidR="0000693C" w:rsidRPr="00984D13" w:rsidRDefault="0000693C" w:rsidP="0000693C">
            <w:pPr>
              <w:spacing w:after="0" w:line="240" w:lineRule="auto"/>
              <w:jc w:val="center"/>
              <w:rPr>
                <w:rFonts w:ascii="Times New Roman" w:hAnsi="Times New Roman" w:cs="Times New Roman"/>
                <w:color w:val="000000"/>
                <w:sz w:val="20"/>
                <w:szCs w:val="20"/>
              </w:rPr>
            </w:pPr>
            <w:r w:rsidRPr="00984D13">
              <w:rPr>
                <w:rFonts w:ascii="Times New Roman" w:hAnsi="Times New Roman" w:cs="Times New Roman"/>
                <w:color w:val="000000"/>
                <w:sz w:val="20"/>
                <w:szCs w:val="20"/>
              </w:rPr>
              <w:t>11,764</w:t>
            </w:r>
          </w:p>
        </w:tc>
      </w:tr>
      <w:tr w:rsidR="00127F0A" w:rsidRPr="008D1DA7" w14:paraId="430D83A0" w14:textId="77777777" w:rsidTr="001578CB">
        <w:trPr>
          <w:trHeight w:val="65"/>
        </w:trPr>
        <w:tc>
          <w:tcPr>
            <w:tcW w:w="326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E0B016" w14:textId="77777777" w:rsidR="0083713D" w:rsidRPr="00CD724E" w:rsidRDefault="0083713D" w:rsidP="0083713D">
            <w:pPr>
              <w:spacing w:after="0" w:line="240" w:lineRule="auto"/>
              <w:rPr>
                <w:rFonts w:ascii="Times New Roman" w:hAnsi="Times New Roman" w:cs="Times New Roman"/>
                <w:color w:val="000000"/>
                <w:sz w:val="20"/>
                <w:szCs w:val="20"/>
              </w:rPr>
            </w:pPr>
            <w:r w:rsidRPr="00CD724E">
              <w:rPr>
                <w:rFonts w:ascii="Times New Roman" w:hAnsi="Times New Roman" w:cs="Times New Roman"/>
                <w:color w:val="000000"/>
                <w:sz w:val="20"/>
                <w:szCs w:val="20"/>
              </w:rPr>
              <w:t>Adj. R</w:t>
            </w:r>
            <w:r w:rsidRPr="00CD724E">
              <w:rPr>
                <w:rFonts w:ascii="Times New Roman" w:hAnsi="Times New Roman" w:cs="Times New Roman"/>
                <w:color w:val="000000"/>
                <w:sz w:val="20"/>
                <w:szCs w:val="20"/>
                <w:vertAlign w:val="superscript"/>
              </w:rPr>
              <w:t>2</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D0092C" w14:textId="61ECC63D"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0.1758</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FC93E8" w14:textId="233AB200"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0.1643</w:t>
            </w: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C30A97" w14:textId="1DCDE2FF"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0.1761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7A1E7F" w14:textId="0FBB5EFC"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0.1643</w:t>
            </w:r>
          </w:p>
        </w:tc>
        <w:tc>
          <w:tcPr>
            <w:tcW w:w="1313"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2F0A73B" w14:textId="4E3316F3"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0.0097</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4C6C02" w14:textId="54777E6A"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0.0062</w:t>
            </w:r>
          </w:p>
        </w:tc>
        <w:tc>
          <w:tcPr>
            <w:tcW w:w="135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D85FF1" w14:textId="43A9693F"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0.0123</w:t>
            </w:r>
          </w:p>
        </w:tc>
        <w:tc>
          <w:tcPr>
            <w:tcW w:w="141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E58AE0" w14:textId="4ACBC3FC" w:rsidR="0083713D" w:rsidRPr="00984D13" w:rsidRDefault="0083713D" w:rsidP="0083713D">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0.0054</w:t>
            </w:r>
          </w:p>
        </w:tc>
      </w:tr>
    </w:tbl>
    <w:p w14:paraId="0F1C0448" w14:textId="55D2C54D" w:rsidR="007D51AE" w:rsidRDefault="0052404D" w:rsidP="00DA36D5">
      <w:pPr>
        <w:spacing w:after="0" w:line="240" w:lineRule="auto"/>
        <w:jc w:val="both"/>
        <w:rPr>
          <w:rFonts w:ascii="Times New Roman" w:hAnsi="Times New Roman" w:cs="Times New Roman"/>
          <w:sz w:val="20"/>
          <w:szCs w:val="20"/>
        </w:rPr>
        <w:sectPr w:rsidR="007D51AE" w:rsidSect="001578CB">
          <w:pgSz w:w="16838" w:h="11906" w:orient="landscape"/>
          <w:pgMar w:top="1134" w:right="1440" w:bottom="1134" w:left="1440" w:header="709" w:footer="709" w:gutter="0"/>
          <w:cols w:space="708"/>
          <w:docGrid w:linePitch="360"/>
        </w:sectPr>
      </w:pPr>
      <w:r>
        <w:rPr>
          <w:rFonts w:ascii="Times New Roman" w:hAnsi="Times New Roman" w:cs="Times New Roman"/>
          <w:sz w:val="20"/>
          <w:szCs w:val="20"/>
        </w:rPr>
        <w:t xml:space="preserve">Note: </w:t>
      </w:r>
      <w:r w:rsidRPr="00CC0FCE">
        <w:rPr>
          <w:rFonts w:ascii="Times New Roman" w:hAnsi="Times New Roman" w:cs="Times New Roman"/>
          <w:sz w:val="20"/>
          <w:szCs w:val="20"/>
        </w:rPr>
        <w:t xml:space="preserve">This table reports results </w:t>
      </w:r>
      <w:r>
        <w:rPr>
          <w:rFonts w:ascii="Times New Roman" w:hAnsi="Times New Roman" w:cs="Times New Roman"/>
          <w:sz w:val="20"/>
          <w:szCs w:val="20"/>
        </w:rPr>
        <w:t>for earnings management, legal regime, and post-SEO performance using alternative measures</w:t>
      </w:r>
      <w:r w:rsidR="00525541">
        <w:rPr>
          <w:rFonts w:ascii="Times New Roman" w:hAnsi="Times New Roman" w:cs="Times New Roman"/>
          <w:sz w:val="20"/>
          <w:szCs w:val="20"/>
        </w:rPr>
        <w:t xml:space="preserve"> of post-SEO performance</w:t>
      </w:r>
      <w:r w:rsidRPr="00CC0FCE">
        <w:rPr>
          <w:rFonts w:ascii="Times New Roman" w:hAnsi="Times New Roman" w:cs="Times New Roman"/>
          <w:sz w:val="20"/>
          <w:szCs w:val="20"/>
        </w:rPr>
        <w:t>.</w:t>
      </w:r>
      <w:r w:rsidR="00676B94">
        <w:rPr>
          <w:rFonts w:ascii="Times New Roman" w:hAnsi="Times New Roman" w:cs="Times New Roman"/>
          <w:sz w:val="20"/>
          <w:szCs w:val="20"/>
        </w:rPr>
        <w:t xml:space="preserve"> </w:t>
      </w:r>
      <w:r w:rsidR="00044509">
        <w:rPr>
          <w:rFonts w:ascii="Times New Roman" w:hAnsi="Times New Roman" w:cs="Times New Roman"/>
          <w:sz w:val="20"/>
          <w:szCs w:val="20"/>
        </w:rPr>
        <w:t xml:space="preserve">Columns (1) to (4) </w:t>
      </w:r>
      <w:r>
        <w:rPr>
          <w:rFonts w:ascii="Times New Roman" w:hAnsi="Times New Roman" w:cs="Times New Roman"/>
          <w:sz w:val="20"/>
          <w:szCs w:val="20"/>
        </w:rPr>
        <w:t>report results for industry adjust net income performance</w:t>
      </w:r>
      <w:r w:rsidR="00A758FD">
        <w:rPr>
          <w:rFonts w:ascii="Times New Roman" w:hAnsi="Times New Roman" w:cs="Times New Roman"/>
          <w:sz w:val="20"/>
          <w:szCs w:val="20"/>
        </w:rPr>
        <w:t xml:space="preserve"> and Columns (5) to (8) report results for ma</w:t>
      </w:r>
      <w:r w:rsidR="0066337D">
        <w:rPr>
          <w:rFonts w:ascii="Times New Roman" w:hAnsi="Times New Roman" w:cs="Times New Roman"/>
          <w:sz w:val="20"/>
          <w:szCs w:val="20"/>
        </w:rPr>
        <w:t>r</w:t>
      </w:r>
      <w:r w:rsidR="00A758FD">
        <w:rPr>
          <w:rFonts w:ascii="Times New Roman" w:hAnsi="Times New Roman" w:cs="Times New Roman"/>
          <w:sz w:val="20"/>
          <w:szCs w:val="20"/>
        </w:rPr>
        <w:t>ket-adjusted returns</w:t>
      </w:r>
      <w:r>
        <w:rPr>
          <w:rFonts w:ascii="Times New Roman" w:hAnsi="Times New Roman" w:cs="Times New Roman"/>
          <w:sz w:val="20"/>
          <w:szCs w:val="20"/>
        </w:rPr>
        <w:t>. Columns (1)</w:t>
      </w:r>
      <w:r w:rsidR="007418F4">
        <w:rPr>
          <w:rFonts w:ascii="Times New Roman" w:hAnsi="Times New Roman" w:cs="Times New Roman"/>
          <w:sz w:val="20"/>
          <w:szCs w:val="20"/>
        </w:rPr>
        <w:t>,</w:t>
      </w:r>
      <w:r>
        <w:rPr>
          <w:rFonts w:ascii="Times New Roman" w:hAnsi="Times New Roman" w:cs="Times New Roman"/>
          <w:sz w:val="20"/>
          <w:szCs w:val="20"/>
        </w:rPr>
        <w:t xml:space="preserve"> (2)</w:t>
      </w:r>
      <w:r w:rsidR="007418F4">
        <w:rPr>
          <w:rFonts w:ascii="Times New Roman" w:hAnsi="Times New Roman" w:cs="Times New Roman"/>
          <w:sz w:val="20"/>
          <w:szCs w:val="20"/>
        </w:rPr>
        <w:t>, (5) and (6)</w:t>
      </w:r>
      <w:r>
        <w:rPr>
          <w:rFonts w:ascii="Times New Roman" w:hAnsi="Times New Roman" w:cs="Times New Roman"/>
          <w:sz w:val="20"/>
          <w:szCs w:val="20"/>
        </w:rPr>
        <w:t xml:space="preserve"> [(3)</w:t>
      </w:r>
      <w:r w:rsidR="007418F4">
        <w:rPr>
          <w:rFonts w:ascii="Times New Roman" w:hAnsi="Times New Roman" w:cs="Times New Roman"/>
          <w:sz w:val="20"/>
          <w:szCs w:val="20"/>
        </w:rPr>
        <w:t>,</w:t>
      </w:r>
      <w:r>
        <w:rPr>
          <w:rFonts w:ascii="Times New Roman" w:hAnsi="Times New Roman" w:cs="Times New Roman"/>
          <w:sz w:val="20"/>
          <w:szCs w:val="20"/>
        </w:rPr>
        <w:t xml:space="preserve"> (4)</w:t>
      </w:r>
      <w:r w:rsidR="00F748AB">
        <w:rPr>
          <w:rFonts w:ascii="Times New Roman" w:hAnsi="Times New Roman" w:cs="Times New Roman"/>
          <w:sz w:val="20"/>
          <w:szCs w:val="20"/>
        </w:rPr>
        <w:t>, (7) and (8)</w:t>
      </w:r>
      <w:r>
        <w:rPr>
          <w:rFonts w:ascii="Times New Roman" w:hAnsi="Times New Roman" w:cs="Times New Roman"/>
          <w:sz w:val="20"/>
          <w:szCs w:val="20"/>
        </w:rPr>
        <w:t xml:space="preserve">] present results of estimation of Equations (1) and (2) [(3) and (4)], respectively. </w:t>
      </w:r>
      <w:r w:rsidRPr="00CC0FCE">
        <w:rPr>
          <w:rFonts w:ascii="Times New Roman" w:hAnsi="Times New Roman" w:cs="Times New Roman"/>
          <w:sz w:val="20"/>
          <w:szCs w:val="20"/>
        </w:rPr>
        <w:t xml:space="preserve">Robust </w:t>
      </w:r>
      <w:r w:rsidRPr="001578CB">
        <w:rPr>
          <w:rFonts w:ascii="Times New Roman" w:hAnsi="Times New Roman" w:cs="Times New Roman"/>
          <w:i/>
          <w:iCs/>
          <w:sz w:val="20"/>
          <w:szCs w:val="20"/>
        </w:rPr>
        <w:t>t</w:t>
      </w:r>
      <w:r w:rsidRPr="00CC0FCE">
        <w:rPr>
          <w:rFonts w:ascii="Times New Roman" w:hAnsi="Times New Roman" w:cs="Times New Roman"/>
          <w:sz w:val="20"/>
          <w:szCs w:val="20"/>
        </w:rPr>
        <w:t>-statistics are in parenthesis. ***, **, * indicate significance at the 1%, 5% and 10% levels, respectively. All variables are defined in Appendix</w:t>
      </w:r>
      <w:r w:rsidR="00992DD5">
        <w:rPr>
          <w:rFonts w:ascii="Times New Roman" w:hAnsi="Times New Roman" w:cs="Times New Roman"/>
          <w:sz w:val="20"/>
          <w:szCs w:val="20"/>
        </w:rPr>
        <w:t>.</w:t>
      </w:r>
    </w:p>
    <w:tbl>
      <w:tblPr>
        <w:tblW w:w="9061" w:type="dxa"/>
        <w:tblLayout w:type="fixed"/>
        <w:tblLook w:val="04A0" w:firstRow="1" w:lastRow="0" w:firstColumn="1" w:lastColumn="0" w:noHBand="0" w:noVBand="1"/>
      </w:tblPr>
      <w:tblGrid>
        <w:gridCol w:w="3402"/>
        <w:gridCol w:w="1418"/>
        <w:gridCol w:w="1559"/>
        <w:gridCol w:w="1276"/>
        <w:gridCol w:w="1406"/>
      </w:tblGrid>
      <w:tr w:rsidR="00DA36D5" w:rsidRPr="00CC0FCE" w14:paraId="39FBA4CD" w14:textId="77777777" w:rsidTr="001578CB">
        <w:trPr>
          <w:trHeight w:val="80"/>
        </w:trPr>
        <w:tc>
          <w:tcPr>
            <w:tcW w:w="9061" w:type="dxa"/>
            <w:gridSpan w:val="5"/>
            <w:tcBorders>
              <w:top w:val="nil"/>
              <w:left w:val="nil"/>
              <w:bottom w:val="single" w:sz="4" w:space="0" w:color="auto"/>
              <w:right w:val="nil"/>
            </w:tcBorders>
            <w:shd w:val="clear" w:color="auto" w:fill="auto"/>
            <w:noWrap/>
            <w:vAlign w:val="bottom"/>
          </w:tcPr>
          <w:p w14:paraId="3DCE9A20" w14:textId="27209592" w:rsidR="00DA36D5" w:rsidRPr="00CC0FCE" w:rsidRDefault="003951D5" w:rsidP="001578CB">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color w:val="000000"/>
                <w:sz w:val="20"/>
                <w:szCs w:val="20"/>
                <w:lang w:eastAsia="en-NZ"/>
              </w:rPr>
              <w:lastRenderedPageBreak/>
              <w:t>T</w:t>
            </w:r>
            <w:r w:rsidR="0042717E" w:rsidRPr="002A6AF0">
              <w:rPr>
                <w:rFonts w:ascii="Times New Roman" w:eastAsia="Times New Roman" w:hAnsi="Times New Roman" w:cs="Times New Roman"/>
                <w:color w:val="000000"/>
                <w:sz w:val="20"/>
                <w:szCs w:val="20"/>
                <w:lang w:eastAsia="en-NZ"/>
              </w:rPr>
              <w:t xml:space="preserve">ABLE </w:t>
            </w:r>
            <w:r w:rsidR="000F38AB">
              <w:rPr>
                <w:rFonts w:ascii="Times New Roman" w:eastAsia="Times New Roman" w:hAnsi="Times New Roman" w:cs="Times New Roman"/>
                <w:color w:val="000000"/>
                <w:sz w:val="20"/>
                <w:szCs w:val="20"/>
                <w:lang w:eastAsia="en-NZ"/>
              </w:rPr>
              <w:t>8</w:t>
            </w:r>
            <w:r w:rsidR="0042717E" w:rsidRPr="002A6AF0">
              <w:rPr>
                <w:rFonts w:ascii="Times New Roman" w:eastAsia="Times New Roman" w:hAnsi="Times New Roman" w:cs="Times New Roman"/>
                <w:color w:val="000000"/>
                <w:sz w:val="20"/>
                <w:szCs w:val="20"/>
                <w:lang w:eastAsia="en-NZ"/>
              </w:rPr>
              <w:t>:</w:t>
            </w:r>
            <w:r w:rsidR="0042717E">
              <w:rPr>
                <w:rFonts w:ascii="Times New Roman" w:eastAsia="Times New Roman" w:hAnsi="Times New Roman" w:cs="Times New Roman"/>
                <w:color w:val="000000"/>
                <w:sz w:val="20"/>
                <w:szCs w:val="20"/>
                <w:lang w:eastAsia="en-NZ"/>
              </w:rPr>
              <w:t xml:space="preserve"> </w:t>
            </w:r>
            <w:r w:rsidR="00656E4C">
              <w:rPr>
                <w:rFonts w:ascii="Times New Roman" w:eastAsia="Times New Roman" w:hAnsi="Times New Roman" w:cs="Times New Roman"/>
                <w:color w:val="000000"/>
                <w:sz w:val="20"/>
                <w:szCs w:val="20"/>
                <w:lang w:eastAsia="en-NZ"/>
              </w:rPr>
              <w:t xml:space="preserve">Alternative measure of </w:t>
            </w:r>
            <w:r w:rsidR="00656E4C">
              <w:rPr>
                <w:rFonts w:ascii="Times New Roman" w:eastAsia="Times New Roman" w:hAnsi="Times New Roman" w:cs="Times New Roman"/>
                <w:sz w:val="20"/>
                <w:szCs w:val="20"/>
                <w:lang w:eastAsia="en-NZ"/>
              </w:rPr>
              <w:t>e</w:t>
            </w:r>
            <w:r w:rsidR="00DA36D5" w:rsidRPr="00CC0FCE">
              <w:rPr>
                <w:rFonts w:ascii="Times New Roman" w:eastAsia="Times New Roman" w:hAnsi="Times New Roman" w:cs="Times New Roman"/>
                <w:sz w:val="20"/>
                <w:szCs w:val="20"/>
                <w:lang w:eastAsia="en-NZ"/>
              </w:rPr>
              <w:t>arnings management</w:t>
            </w:r>
          </w:p>
        </w:tc>
      </w:tr>
      <w:tr w:rsidR="00DA36D5" w:rsidRPr="00CC0FCE" w14:paraId="59B61E5C" w14:textId="77777777" w:rsidTr="001578CB">
        <w:trPr>
          <w:trHeight w:val="164"/>
        </w:trPr>
        <w:tc>
          <w:tcPr>
            <w:tcW w:w="3402" w:type="dxa"/>
            <w:tcBorders>
              <w:top w:val="nil"/>
              <w:left w:val="nil"/>
              <w:right w:val="nil"/>
            </w:tcBorders>
            <w:shd w:val="clear" w:color="auto" w:fill="auto"/>
            <w:noWrap/>
            <w:vAlign w:val="bottom"/>
          </w:tcPr>
          <w:p w14:paraId="05EE2AE3" w14:textId="77777777" w:rsidR="00DA36D5" w:rsidRPr="00CC0FCE" w:rsidRDefault="00DA36D5" w:rsidP="00EA3310">
            <w:pPr>
              <w:spacing w:after="0" w:line="240" w:lineRule="auto"/>
              <w:rPr>
                <w:rFonts w:ascii="Times New Roman" w:eastAsia="Times New Roman" w:hAnsi="Times New Roman" w:cs="Times New Roman"/>
                <w:sz w:val="20"/>
                <w:szCs w:val="20"/>
                <w:lang w:eastAsia="en-NZ"/>
              </w:rPr>
            </w:pPr>
          </w:p>
        </w:tc>
        <w:tc>
          <w:tcPr>
            <w:tcW w:w="1418" w:type="dxa"/>
            <w:tcBorders>
              <w:top w:val="nil"/>
              <w:left w:val="nil"/>
              <w:right w:val="nil"/>
            </w:tcBorders>
            <w:shd w:val="clear" w:color="auto" w:fill="auto"/>
            <w:noWrap/>
            <w:vAlign w:val="bottom"/>
          </w:tcPr>
          <w:p w14:paraId="1CEFF4D9" w14:textId="77777777"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(1)</w:t>
            </w:r>
          </w:p>
        </w:tc>
        <w:tc>
          <w:tcPr>
            <w:tcW w:w="1559" w:type="dxa"/>
            <w:tcBorders>
              <w:top w:val="nil"/>
              <w:left w:val="nil"/>
              <w:right w:val="nil"/>
            </w:tcBorders>
            <w:shd w:val="clear" w:color="auto" w:fill="auto"/>
            <w:noWrap/>
            <w:vAlign w:val="bottom"/>
          </w:tcPr>
          <w:p w14:paraId="3C90ED04" w14:textId="77777777"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(2)</w:t>
            </w:r>
          </w:p>
        </w:tc>
        <w:tc>
          <w:tcPr>
            <w:tcW w:w="1276" w:type="dxa"/>
            <w:tcBorders>
              <w:top w:val="nil"/>
              <w:left w:val="nil"/>
              <w:right w:val="nil"/>
            </w:tcBorders>
            <w:shd w:val="clear" w:color="auto" w:fill="auto"/>
            <w:noWrap/>
            <w:vAlign w:val="bottom"/>
          </w:tcPr>
          <w:p w14:paraId="1EE19789" w14:textId="77777777"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(3)</w:t>
            </w:r>
          </w:p>
        </w:tc>
        <w:tc>
          <w:tcPr>
            <w:tcW w:w="1406" w:type="dxa"/>
            <w:tcBorders>
              <w:top w:val="nil"/>
              <w:left w:val="nil"/>
              <w:right w:val="nil"/>
            </w:tcBorders>
          </w:tcPr>
          <w:p w14:paraId="4F7F1785" w14:textId="77777777"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(4)</w:t>
            </w:r>
          </w:p>
        </w:tc>
      </w:tr>
      <w:tr w:rsidR="00DA36D5" w:rsidRPr="00CC0FCE" w14:paraId="49C4ED44" w14:textId="77777777" w:rsidTr="001578CB">
        <w:trPr>
          <w:trHeight w:val="276"/>
        </w:trPr>
        <w:tc>
          <w:tcPr>
            <w:tcW w:w="3402" w:type="dxa"/>
            <w:tcBorders>
              <w:left w:val="nil"/>
              <w:bottom w:val="single" w:sz="4" w:space="0" w:color="auto"/>
              <w:right w:val="nil"/>
            </w:tcBorders>
            <w:shd w:val="clear" w:color="auto" w:fill="auto"/>
            <w:noWrap/>
            <w:vAlign w:val="bottom"/>
          </w:tcPr>
          <w:p w14:paraId="3AB78F7B" w14:textId="77777777" w:rsidR="00DA36D5" w:rsidRPr="00CC0FCE" w:rsidRDefault="00DA36D5" w:rsidP="00EA3310">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Variables</w:t>
            </w:r>
          </w:p>
        </w:tc>
        <w:tc>
          <w:tcPr>
            <w:tcW w:w="1418" w:type="dxa"/>
            <w:tcBorders>
              <w:left w:val="nil"/>
              <w:bottom w:val="single" w:sz="4" w:space="0" w:color="auto"/>
              <w:right w:val="nil"/>
            </w:tcBorders>
            <w:shd w:val="clear" w:color="auto" w:fill="auto"/>
            <w:noWrap/>
            <w:vAlign w:val="bottom"/>
          </w:tcPr>
          <w:p w14:paraId="2F083647" w14:textId="2816D18A"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AEM</w:t>
            </w:r>
            <w:r w:rsidR="00832363">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c>
          <w:tcPr>
            <w:tcW w:w="1559" w:type="dxa"/>
            <w:tcBorders>
              <w:left w:val="nil"/>
              <w:bottom w:val="single" w:sz="4" w:space="0" w:color="auto"/>
              <w:right w:val="nil"/>
            </w:tcBorders>
            <w:shd w:val="clear" w:color="auto" w:fill="auto"/>
            <w:noWrap/>
            <w:vAlign w:val="bottom"/>
          </w:tcPr>
          <w:p w14:paraId="69171E67" w14:textId="0E716A43"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Sum (AEM</w:t>
            </w:r>
            <w:r w:rsidR="00832363">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c>
          <w:tcPr>
            <w:tcW w:w="1276" w:type="dxa"/>
            <w:tcBorders>
              <w:left w:val="nil"/>
              <w:bottom w:val="single" w:sz="4" w:space="0" w:color="auto"/>
              <w:right w:val="nil"/>
            </w:tcBorders>
            <w:shd w:val="clear" w:color="auto" w:fill="auto"/>
            <w:noWrap/>
            <w:vAlign w:val="bottom"/>
          </w:tcPr>
          <w:p w14:paraId="36F642BD" w14:textId="300638A0"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AEM</w:t>
            </w:r>
            <w:r w:rsidR="00832363">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c>
          <w:tcPr>
            <w:tcW w:w="1406" w:type="dxa"/>
            <w:tcBorders>
              <w:left w:val="nil"/>
              <w:bottom w:val="single" w:sz="4" w:space="0" w:color="auto"/>
              <w:right w:val="nil"/>
            </w:tcBorders>
            <w:vAlign w:val="bottom"/>
          </w:tcPr>
          <w:p w14:paraId="206B2707" w14:textId="79B71302" w:rsidR="00DA36D5" w:rsidRPr="00CC0FCE" w:rsidRDefault="00DA36D5" w:rsidP="00EA3310">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Sum (AEM</w:t>
            </w:r>
            <w:r w:rsidR="00832363">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r>
      <w:tr w:rsidR="00EC490E" w:rsidRPr="00CC0FCE" w14:paraId="62C71C52" w14:textId="77777777" w:rsidTr="001578CB">
        <w:trPr>
          <w:trHeight w:val="72"/>
        </w:trPr>
        <w:tc>
          <w:tcPr>
            <w:tcW w:w="3402" w:type="dxa"/>
            <w:tcBorders>
              <w:top w:val="nil"/>
              <w:left w:val="nil"/>
              <w:bottom w:val="nil"/>
              <w:right w:val="nil"/>
            </w:tcBorders>
            <w:shd w:val="clear" w:color="auto" w:fill="auto"/>
            <w:noWrap/>
            <w:vAlign w:val="bottom"/>
          </w:tcPr>
          <w:p w14:paraId="22CF2C9C" w14:textId="7F613F77" w:rsidR="00EC490E" w:rsidRPr="001578CB" w:rsidRDefault="00EC490E" w:rsidP="00EC490E">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AEM</w:t>
            </w:r>
            <w:r w:rsidR="00AE10FE">
              <w:rPr>
                <w:rFonts w:ascii="Times New Roman" w:eastAsia="Times New Roman" w:hAnsi="Times New Roman" w:cs="Times New Roman"/>
                <w:sz w:val="20"/>
                <w:szCs w:val="20"/>
                <w:lang w:eastAsia="en-NZ"/>
              </w:rPr>
              <w:t>R</w:t>
            </w:r>
          </w:p>
        </w:tc>
        <w:tc>
          <w:tcPr>
            <w:tcW w:w="1418" w:type="dxa"/>
            <w:tcBorders>
              <w:top w:val="nil"/>
              <w:left w:val="nil"/>
              <w:bottom w:val="nil"/>
              <w:right w:val="nil"/>
            </w:tcBorders>
            <w:shd w:val="clear" w:color="auto" w:fill="auto"/>
            <w:noWrap/>
            <w:vAlign w:val="bottom"/>
          </w:tcPr>
          <w:p w14:paraId="00EF2D86" w14:textId="50CCAF4A" w:rsidR="00EC490E" w:rsidRPr="00AC7EF4" w:rsidRDefault="00A41EF0" w:rsidP="00EC490E">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EC490E" w:rsidRPr="001578CB">
              <w:rPr>
                <w:rFonts w:ascii="Times New Roman" w:hAnsi="Times New Roman" w:cs="Times New Roman"/>
                <w:color w:val="000000"/>
                <w:sz w:val="20"/>
                <w:szCs w:val="20"/>
              </w:rPr>
              <w:t>0.0597***</w:t>
            </w:r>
          </w:p>
        </w:tc>
        <w:tc>
          <w:tcPr>
            <w:tcW w:w="1559" w:type="dxa"/>
            <w:tcBorders>
              <w:top w:val="nil"/>
              <w:left w:val="nil"/>
              <w:bottom w:val="nil"/>
              <w:right w:val="nil"/>
            </w:tcBorders>
            <w:shd w:val="clear" w:color="auto" w:fill="auto"/>
            <w:noWrap/>
            <w:vAlign w:val="bottom"/>
          </w:tcPr>
          <w:p w14:paraId="72B220C7" w14:textId="77777777"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tcPr>
          <w:p w14:paraId="36A06DDA" w14:textId="576D9BD9" w:rsidR="00EC490E" w:rsidRPr="00AC7EF4" w:rsidRDefault="00A41EF0" w:rsidP="00EC490E">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EC490E" w:rsidRPr="001578CB">
              <w:rPr>
                <w:rFonts w:ascii="Times New Roman" w:hAnsi="Times New Roman" w:cs="Times New Roman"/>
                <w:color w:val="000000"/>
                <w:sz w:val="20"/>
                <w:szCs w:val="20"/>
              </w:rPr>
              <w:t>0.02</w:t>
            </w:r>
            <w:r w:rsidR="00845794">
              <w:rPr>
                <w:rFonts w:ascii="Times New Roman" w:hAnsi="Times New Roman" w:cs="Times New Roman"/>
                <w:color w:val="000000"/>
                <w:sz w:val="20"/>
                <w:szCs w:val="20"/>
              </w:rPr>
              <w:t>45</w:t>
            </w:r>
            <w:r w:rsidR="00EC490E" w:rsidRPr="001578CB">
              <w:rPr>
                <w:rFonts w:ascii="Times New Roman" w:hAnsi="Times New Roman" w:cs="Times New Roman"/>
                <w:color w:val="000000"/>
                <w:sz w:val="20"/>
                <w:szCs w:val="20"/>
              </w:rPr>
              <w:t>*</w:t>
            </w:r>
          </w:p>
        </w:tc>
        <w:tc>
          <w:tcPr>
            <w:tcW w:w="1406" w:type="dxa"/>
            <w:tcBorders>
              <w:top w:val="nil"/>
              <w:left w:val="nil"/>
              <w:bottom w:val="nil"/>
              <w:right w:val="nil"/>
            </w:tcBorders>
          </w:tcPr>
          <w:p w14:paraId="43A31771" w14:textId="77777777" w:rsidR="00EC490E" w:rsidRPr="00AC7EF4" w:rsidRDefault="00EC490E" w:rsidP="00EC490E">
            <w:pPr>
              <w:spacing w:after="0" w:line="240" w:lineRule="auto"/>
              <w:jc w:val="center"/>
              <w:rPr>
                <w:rFonts w:ascii="Times New Roman" w:hAnsi="Times New Roman" w:cs="Times New Roman"/>
                <w:sz w:val="20"/>
                <w:szCs w:val="20"/>
              </w:rPr>
            </w:pPr>
          </w:p>
        </w:tc>
      </w:tr>
      <w:tr w:rsidR="00EC490E" w:rsidRPr="00CC0FCE" w14:paraId="64B2F9E9" w14:textId="77777777" w:rsidTr="001578CB">
        <w:trPr>
          <w:trHeight w:val="83"/>
        </w:trPr>
        <w:tc>
          <w:tcPr>
            <w:tcW w:w="3402" w:type="dxa"/>
            <w:tcBorders>
              <w:top w:val="nil"/>
              <w:left w:val="nil"/>
              <w:bottom w:val="nil"/>
              <w:right w:val="nil"/>
            </w:tcBorders>
            <w:shd w:val="clear" w:color="auto" w:fill="auto"/>
            <w:noWrap/>
            <w:vAlign w:val="bottom"/>
          </w:tcPr>
          <w:p w14:paraId="0B966091" w14:textId="77777777" w:rsidR="00EC490E" w:rsidRPr="001578CB" w:rsidRDefault="00EC490E" w:rsidP="00EC490E">
            <w:pPr>
              <w:spacing w:after="0" w:line="240" w:lineRule="auto"/>
              <w:rPr>
                <w:rFonts w:ascii="Times New Roman" w:eastAsia="Times New Roman" w:hAnsi="Times New Roman" w:cs="Times New Roman"/>
                <w:sz w:val="20"/>
                <w:szCs w:val="20"/>
                <w:lang w:eastAsia="en-NZ"/>
              </w:rPr>
            </w:pPr>
          </w:p>
        </w:tc>
        <w:tc>
          <w:tcPr>
            <w:tcW w:w="1418" w:type="dxa"/>
            <w:tcBorders>
              <w:top w:val="nil"/>
              <w:left w:val="nil"/>
              <w:bottom w:val="nil"/>
              <w:right w:val="nil"/>
            </w:tcBorders>
            <w:shd w:val="clear" w:color="auto" w:fill="auto"/>
            <w:noWrap/>
            <w:vAlign w:val="bottom"/>
          </w:tcPr>
          <w:p w14:paraId="230347EF" w14:textId="2300B83D"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4.7569)</w:t>
            </w:r>
          </w:p>
        </w:tc>
        <w:tc>
          <w:tcPr>
            <w:tcW w:w="1559" w:type="dxa"/>
            <w:tcBorders>
              <w:top w:val="nil"/>
              <w:left w:val="nil"/>
              <w:bottom w:val="nil"/>
              <w:right w:val="nil"/>
            </w:tcBorders>
            <w:shd w:val="clear" w:color="auto" w:fill="auto"/>
            <w:noWrap/>
            <w:vAlign w:val="bottom"/>
          </w:tcPr>
          <w:p w14:paraId="4FEB6A93" w14:textId="77777777"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tcPr>
          <w:p w14:paraId="15645F93" w14:textId="6DA8BEEB"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1.7700)</w:t>
            </w:r>
          </w:p>
        </w:tc>
        <w:tc>
          <w:tcPr>
            <w:tcW w:w="1406" w:type="dxa"/>
            <w:tcBorders>
              <w:top w:val="nil"/>
              <w:left w:val="nil"/>
              <w:bottom w:val="nil"/>
              <w:right w:val="nil"/>
            </w:tcBorders>
          </w:tcPr>
          <w:p w14:paraId="46B33988" w14:textId="77777777" w:rsidR="00EC490E" w:rsidRPr="00AC7EF4" w:rsidRDefault="00EC490E" w:rsidP="00EC490E">
            <w:pPr>
              <w:spacing w:after="0" w:line="240" w:lineRule="auto"/>
              <w:jc w:val="center"/>
              <w:rPr>
                <w:rFonts w:ascii="Times New Roman" w:hAnsi="Times New Roman" w:cs="Times New Roman"/>
                <w:sz w:val="20"/>
                <w:szCs w:val="20"/>
              </w:rPr>
            </w:pPr>
          </w:p>
        </w:tc>
      </w:tr>
      <w:tr w:rsidR="00EC490E" w:rsidRPr="00CC0FCE" w14:paraId="6EAF8252" w14:textId="77777777" w:rsidTr="001578CB">
        <w:trPr>
          <w:trHeight w:val="83"/>
        </w:trPr>
        <w:tc>
          <w:tcPr>
            <w:tcW w:w="3402" w:type="dxa"/>
            <w:tcBorders>
              <w:top w:val="nil"/>
              <w:left w:val="nil"/>
              <w:bottom w:val="nil"/>
              <w:right w:val="nil"/>
            </w:tcBorders>
            <w:shd w:val="clear" w:color="auto" w:fill="auto"/>
            <w:noWrap/>
            <w:vAlign w:val="bottom"/>
          </w:tcPr>
          <w:p w14:paraId="412A41E0" w14:textId="7DB13780" w:rsidR="00EC490E" w:rsidRPr="001578CB" w:rsidRDefault="00EC490E" w:rsidP="00EC490E">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RAM</w:t>
            </w:r>
            <w:r w:rsidR="00AE10FE">
              <w:rPr>
                <w:rFonts w:ascii="Times New Roman" w:eastAsia="Times New Roman" w:hAnsi="Times New Roman" w:cs="Times New Roman"/>
                <w:sz w:val="20"/>
                <w:szCs w:val="20"/>
                <w:lang w:eastAsia="en-NZ"/>
              </w:rPr>
              <w:t>R</w:t>
            </w:r>
          </w:p>
        </w:tc>
        <w:tc>
          <w:tcPr>
            <w:tcW w:w="1418" w:type="dxa"/>
            <w:tcBorders>
              <w:top w:val="nil"/>
              <w:left w:val="nil"/>
              <w:bottom w:val="nil"/>
              <w:right w:val="nil"/>
            </w:tcBorders>
            <w:shd w:val="clear" w:color="auto" w:fill="auto"/>
            <w:noWrap/>
            <w:vAlign w:val="bottom"/>
          </w:tcPr>
          <w:p w14:paraId="0D2E0D3D" w14:textId="12AB2CB4" w:rsidR="00EC490E" w:rsidRPr="00AC7EF4" w:rsidRDefault="00A41EF0" w:rsidP="00EC490E">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EC490E" w:rsidRPr="001578CB">
              <w:rPr>
                <w:rFonts w:ascii="Times New Roman" w:hAnsi="Times New Roman" w:cs="Times New Roman"/>
                <w:color w:val="000000"/>
                <w:sz w:val="20"/>
                <w:szCs w:val="20"/>
              </w:rPr>
              <w:t>0.1026***</w:t>
            </w:r>
          </w:p>
        </w:tc>
        <w:tc>
          <w:tcPr>
            <w:tcW w:w="1559" w:type="dxa"/>
            <w:tcBorders>
              <w:top w:val="nil"/>
              <w:left w:val="nil"/>
              <w:bottom w:val="nil"/>
              <w:right w:val="nil"/>
            </w:tcBorders>
            <w:shd w:val="clear" w:color="auto" w:fill="auto"/>
            <w:noWrap/>
            <w:vAlign w:val="bottom"/>
          </w:tcPr>
          <w:p w14:paraId="3ABE8EFD" w14:textId="77777777"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tcPr>
          <w:p w14:paraId="3B8051BC" w14:textId="4BDEAAF7" w:rsidR="00EC490E" w:rsidRPr="00AC7EF4" w:rsidRDefault="00A41EF0" w:rsidP="00EC490E">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EC490E" w:rsidRPr="001578CB">
              <w:rPr>
                <w:rFonts w:ascii="Times New Roman" w:hAnsi="Times New Roman" w:cs="Times New Roman"/>
                <w:color w:val="000000"/>
                <w:sz w:val="20"/>
                <w:szCs w:val="20"/>
              </w:rPr>
              <w:t>0.0</w:t>
            </w:r>
            <w:r w:rsidR="00C7523C">
              <w:rPr>
                <w:rFonts w:ascii="Times New Roman" w:hAnsi="Times New Roman" w:cs="Times New Roman"/>
                <w:color w:val="000000"/>
                <w:sz w:val="20"/>
                <w:szCs w:val="20"/>
              </w:rPr>
              <w:t>382</w:t>
            </w:r>
            <w:r w:rsidR="00EC490E" w:rsidRPr="001578CB">
              <w:rPr>
                <w:rFonts w:ascii="Times New Roman" w:hAnsi="Times New Roman" w:cs="Times New Roman"/>
                <w:color w:val="000000"/>
                <w:sz w:val="20"/>
                <w:szCs w:val="20"/>
              </w:rPr>
              <w:t>**</w:t>
            </w:r>
          </w:p>
        </w:tc>
        <w:tc>
          <w:tcPr>
            <w:tcW w:w="1406" w:type="dxa"/>
            <w:tcBorders>
              <w:top w:val="nil"/>
              <w:left w:val="nil"/>
              <w:bottom w:val="nil"/>
              <w:right w:val="nil"/>
            </w:tcBorders>
          </w:tcPr>
          <w:p w14:paraId="44CC5A42" w14:textId="77777777" w:rsidR="00EC490E" w:rsidRPr="00AC7EF4" w:rsidRDefault="00EC490E" w:rsidP="00EC490E">
            <w:pPr>
              <w:spacing w:after="0" w:line="240" w:lineRule="auto"/>
              <w:jc w:val="center"/>
              <w:rPr>
                <w:rFonts w:ascii="Times New Roman" w:hAnsi="Times New Roman" w:cs="Times New Roman"/>
                <w:sz w:val="20"/>
                <w:szCs w:val="20"/>
              </w:rPr>
            </w:pPr>
          </w:p>
        </w:tc>
      </w:tr>
      <w:tr w:rsidR="00EC490E" w:rsidRPr="00CC0FCE" w14:paraId="710A012C" w14:textId="77777777" w:rsidTr="001578CB">
        <w:trPr>
          <w:trHeight w:val="83"/>
        </w:trPr>
        <w:tc>
          <w:tcPr>
            <w:tcW w:w="3402" w:type="dxa"/>
            <w:tcBorders>
              <w:top w:val="nil"/>
              <w:left w:val="nil"/>
              <w:bottom w:val="nil"/>
              <w:right w:val="nil"/>
            </w:tcBorders>
            <w:shd w:val="clear" w:color="auto" w:fill="auto"/>
            <w:noWrap/>
            <w:vAlign w:val="bottom"/>
          </w:tcPr>
          <w:p w14:paraId="5E2776A7" w14:textId="77777777" w:rsidR="00EC490E" w:rsidRPr="001578CB" w:rsidRDefault="00EC490E" w:rsidP="00EC490E">
            <w:pPr>
              <w:spacing w:after="0" w:line="240" w:lineRule="auto"/>
              <w:rPr>
                <w:rFonts w:ascii="Times New Roman" w:eastAsia="Times New Roman" w:hAnsi="Times New Roman" w:cs="Times New Roman"/>
                <w:sz w:val="20"/>
                <w:szCs w:val="20"/>
                <w:lang w:eastAsia="en-NZ"/>
              </w:rPr>
            </w:pPr>
          </w:p>
        </w:tc>
        <w:tc>
          <w:tcPr>
            <w:tcW w:w="1418" w:type="dxa"/>
            <w:tcBorders>
              <w:top w:val="nil"/>
              <w:left w:val="nil"/>
              <w:bottom w:val="nil"/>
              <w:right w:val="nil"/>
            </w:tcBorders>
            <w:shd w:val="clear" w:color="auto" w:fill="auto"/>
            <w:noWrap/>
            <w:vAlign w:val="bottom"/>
          </w:tcPr>
          <w:p w14:paraId="2AFFD00B" w14:textId="38519AB3"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14.9649)</w:t>
            </w:r>
          </w:p>
        </w:tc>
        <w:tc>
          <w:tcPr>
            <w:tcW w:w="1559" w:type="dxa"/>
            <w:tcBorders>
              <w:top w:val="nil"/>
              <w:left w:val="nil"/>
              <w:bottom w:val="nil"/>
              <w:right w:val="nil"/>
            </w:tcBorders>
            <w:shd w:val="clear" w:color="auto" w:fill="auto"/>
            <w:noWrap/>
            <w:vAlign w:val="bottom"/>
          </w:tcPr>
          <w:p w14:paraId="32DCF4A3" w14:textId="77777777"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tcPr>
          <w:p w14:paraId="61A1E55C" w14:textId="2DA89E1E" w:rsidR="00EC490E" w:rsidRPr="00AC7EF4" w:rsidRDefault="00EC490E" w:rsidP="00EC490E">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2.0725)</w:t>
            </w:r>
          </w:p>
        </w:tc>
        <w:tc>
          <w:tcPr>
            <w:tcW w:w="1406" w:type="dxa"/>
            <w:tcBorders>
              <w:top w:val="nil"/>
              <w:left w:val="nil"/>
              <w:bottom w:val="nil"/>
              <w:right w:val="nil"/>
            </w:tcBorders>
          </w:tcPr>
          <w:p w14:paraId="1AE8D397" w14:textId="77777777" w:rsidR="00EC490E" w:rsidRPr="00AC7EF4" w:rsidRDefault="00EC490E" w:rsidP="00EC490E">
            <w:pPr>
              <w:spacing w:after="0" w:line="240" w:lineRule="auto"/>
              <w:jc w:val="center"/>
              <w:rPr>
                <w:rFonts w:ascii="Times New Roman" w:hAnsi="Times New Roman" w:cs="Times New Roman"/>
                <w:sz w:val="20"/>
                <w:szCs w:val="20"/>
              </w:rPr>
            </w:pPr>
          </w:p>
        </w:tc>
      </w:tr>
      <w:tr w:rsidR="00FD78F9" w:rsidRPr="00CC0FCE" w14:paraId="21800F8B" w14:textId="77777777" w:rsidTr="001578CB">
        <w:trPr>
          <w:trHeight w:val="83"/>
        </w:trPr>
        <w:tc>
          <w:tcPr>
            <w:tcW w:w="3402" w:type="dxa"/>
            <w:tcBorders>
              <w:top w:val="nil"/>
              <w:left w:val="nil"/>
              <w:bottom w:val="nil"/>
              <w:right w:val="nil"/>
            </w:tcBorders>
            <w:shd w:val="clear" w:color="auto" w:fill="auto"/>
            <w:noWrap/>
            <w:vAlign w:val="bottom"/>
          </w:tcPr>
          <w:p w14:paraId="27DBF377" w14:textId="38C6BD9D" w:rsidR="00FD78F9" w:rsidRPr="001578CB" w:rsidRDefault="00FD78F9" w:rsidP="00FD78F9">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TAR</w:t>
            </w:r>
            <w:r w:rsidR="00AE10FE">
              <w:rPr>
                <w:rFonts w:ascii="Times New Roman" w:eastAsia="Times New Roman" w:hAnsi="Times New Roman" w:cs="Times New Roman"/>
                <w:sz w:val="20"/>
                <w:szCs w:val="20"/>
                <w:lang w:eastAsia="en-NZ"/>
              </w:rPr>
              <w:t>R</w:t>
            </w:r>
          </w:p>
        </w:tc>
        <w:tc>
          <w:tcPr>
            <w:tcW w:w="1418" w:type="dxa"/>
            <w:tcBorders>
              <w:top w:val="nil"/>
              <w:left w:val="nil"/>
              <w:bottom w:val="nil"/>
              <w:right w:val="nil"/>
            </w:tcBorders>
            <w:shd w:val="clear" w:color="auto" w:fill="auto"/>
            <w:noWrap/>
            <w:vAlign w:val="bottom"/>
          </w:tcPr>
          <w:p w14:paraId="3C17E716" w14:textId="77777777" w:rsidR="00FD78F9" w:rsidRPr="00AC7EF4" w:rsidRDefault="00FD78F9" w:rsidP="00FD78F9">
            <w:pPr>
              <w:spacing w:after="0" w:line="240" w:lineRule="auto"/>
              <w:jc w:val="center"/>
              <w:rPr>
                <w:rFonts w:ascii="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tcPr>
          <w:p w14:paraId="7C08FC13" w14:textId="3B650C46" w:rsidR="00FD78F9" w:rsidRPr="00AC7EF4" w:rsidRDefault="00A41EF0" w:rsidP="00FD78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FD78F9" w:rsidRPr="001578CB">
              <w:rPr>
                <w:rFonts w:ascii="Times New Roman" w:hAnsi="Times New Roman" w:cs="Times New Roman"/>
                <w:color w:val="000000"/>
                <w:sz w:val="20"/>
                <w:szCs w:val="20"/>
              </w:rPr>
              <w:t>0.0937***</w:t>
            </w:r>
          </w:p>
        </w:tc>
        <w:tc>
          <w:tcPr>
            <w:tcW w:w="1276" w:type="dxa"/>
            <w:tcBorders>
              <w:top w:val="nil"/>
              <w:left w:val="nil"/>
              <w:bottom w:val="nil"/>
              <w:right w:val="nil"/>
            </w:tcBorders>
            <w:shd w:val="clear" w:color="auto" w:fill="auto"/>
            <w:noWrap/>
            <w:vAlign w:val="bottom"/>
          </w:tcPr>
          <w:p w14:paraId="7FBB50DF" w14:textId="77777777" w:rsidR="00FD78F9" w:rsidRPr="00AC7EF4" w:rsidRDefault="00FD78F9" w:rsidP="00FD78F9">
            <w:pPr>
              <w:spacing w:after="0" w:line="240" w:lineRule="auto"/>
              <w:jc w:val="center"/>
              <w:rPr>
                <w:rFonts w:ascii="Times New Roman" w:eastAsia="Times New Roman" w:hAnsi="Times New Roman" w:cs="Times New Roman"/>
                <w:sz w:val="20"/>
                <w:szCs w:val="20"/>
                <w:lang w:eastAsia="en-NZ"/>
              </w:rPr>
            </w:pPr>
          </w:p>
        </w:tc>
        <w:tc>
          <w:tcPr>
            <w:tcW w:w="1406" w:type="dxa"/>
            <w:tcBorders>
              <w:top w:val="nil"/>
              <w:left w:val="nil"/>
              <w:bottom w:val="nil"/>
              <w:right w:val="nil"/>
            </w:tcBorders>
            <w:shd w:val="clear" w:color="auto" w:fill="auto"/>
            <w:vAlign w:val="bottom"/>
          </w:tcPr>
          <w:p w14:paraId="501A7179" w14:textId="2E94A3E9" w:rsidR="00FD78F9" w:rsidRPr="00AC7EF4" w:rsidRDefault="00A41EF0" w:rsidP="00FD78F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FD78F9" w:rsidRPr="001578CB">
              <w:rPr>
                <w:rFonts w:ascii="Times New Roman" w:hAnsi="Times New Roman" w:cs="Times New Roman"/>
                <w:color w:val="000000"/>
                <w:sz w:val="20"/>
                <w:szCs w:val="20"/>
              </w:rPr>
              <w:t>0.0555***</w:t>
            </w:r>
          </w:p>
        </w:tc>
      </w:tr>
      <w:tr w:rsidR="00FD78F9" w:rsidRPr="00CC0FCE" w14:paraId="3C50E5CC" w14:textId="77777777" w:rsidTr="001578CB">
        <w:trPr>
          <w:trHeight w:val="83"/>
        </w:trPr>
        <w:tc>
          <w:tcPr>
            <w:tcW w:w="3402" w:type="dxa"/>
            <w:tcBorders>
              <w:top w:val="nil"/>
              <w:left w:val="nil"/>
              <w:bottom w:val="nil"/>
              <w:right w:val="nil"/>
            </w:tcBorders>
            <w:shd w:val="clear" w:color="auto" w:fill="auto"/>
            <w:noWrap/>
            <w:vAlign w:val="bottom"/>
          </w:tcPr>
          <w:p w14:paraId="48E10024" w14:textId="77777777" w:rsidR="00FD78F9" w:rsidRPr="001578CB" w:rsidRDefault="00FD78F9" w:rsidP="00FD78F9">
            <w:pPr>
              <w:spacing w:after="0" w:line="240" w:lineRule="auto"/>
              <w:rPr>
                <w:rFonts w:ascii="Times New Roman" w:eastAsia="Times New Roman" w:hAnsi="Times New Roman" w:cs="Times New Roman"/>
                <w:sz w:val="20"/>
                <w:szCs w:val="20"/>
                <w:lang w:eastAsia="en-NZ"/>
              </w:rPr>
            </w:pPr>
          </w:p>
        </w:tc>
        <w:tc>
          <w:tcPr>
            <w:tcW w:w="1418" w:type="dxa"/>
            <w:tcBorders>
              <w:top w:val="nil"/>
              <w:left w:val="nil"/>
              <w:bottom w:val="nil"/>
              <w:right w:val="nil"/>
            </w:tcBorders>
            <w:shd w:val="clear" w:color="auto" w:fill="auto"/>
            <w:noWrap/>
            <w:vAlign w:val="bottom"/>
          </w:tcPr>
          <w:p w14:paraId="7ACF4B34" w14:textId="77777777" w:rsidR="00FD78F9" w:rsidRPr="00AC7EF4" w:rsidRDefault="00FD78F9" w:rsidP="00FD78F9">
            <w:pPr>
              <w:spacing w:after="0" w:line="240" w:lineRule="auto"/>
              <w:jc w:val="center"/>
              <w:rPr>
                <w:rFonts w:ascii="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tcPr>
          <w:p w14:paraId="7D84F9D4" w14:textId="1760EA41" w:rsidR="00FD78F9" w:rsidRPr="00AC7EF4" w:rsidRDefault="00FD78F9" w:rsidP="00FD78F9">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15.4963)</w:t>
            </w:r>
          </w:p>
        </w:tc>
        <w:tc>
          <w:tcPr>
            <w:tcW w:w="1276" w:type="dxa"/>
            <w:tcBorders>
              <w:top w:val="nil"/>
              <w:left w:val="nil"/>
              <w:bottom w:val="nil"/>
              <w:right w:val="nil"/>
            </w:tcBorders>
            <w:shd w:val="clear" w:color="auto" w:fill="auto"/>
            <w:noWrap/>
            <w:vAlign w:val="bottom"/>
          </w:tcPr>
          <w:p w14:paraId="7171489A" w14:textId="77777777" w:rsidR="00FD78F9" w:rsidRPr="00AC7EF4" w:rsidRDefault="00FD78F9" w:rsidP="00FD78F9">
            <w:pPr>
              <w:spacing w:after="0" w:line="240" w:lineRule="auto"/>
              <w:jc w:val="center"/>
              <w:rPr>
                <w:rFonts w:ascii="Times New Roman" w:eastAsia="Times New Roman" w:hAnsi="Times New Roman" w:cs="Times New Roman"/>
                <w:sz w:val="20"/>
                <w:szCs w:val="20"/>
                <w:lang w:eastAsia="en-NZ"/>
              </w:rPr>
            </w:pPr>
          </w:p>
        </w:tc>
        <w:tc>
          <w:tcPr>
            <w:tcW w:w="1406" w:type="dxa"/>
            <w:tcBorders>
              <w:top w:val="nil"/>
              <w:left w:val="nil"/>
              <w:bottom w:val="nil"/>
              <w:right w:val="nil"/>
            </w:tcBorders>
            <w:shd w:val="clear" w:color="auto" w:fill="auto"/>
            <w:vAlign w:val="bottom"/>
          </w:tcPr>
          <w:p w14:paraId="21FB2F43" w14:textId="7C077376" w:rsidR="00FD78F9" w:rsidRPr="00AC7EF4" w:rsidRDefault="00FD78F9" w:rsidP="00FD78F9">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3.3178)</w:t>
            </w:r>
          </w:p>
        </w:tc>
      </w:tr>
      <w:tr w:rsidR="000C1A40" w:rsidRPr="00CC0FCE" w14:paraId="60A867E7" w14:textId="77777777" w:rsidTr="001578CB">
        <w:trPr>
          <w:trHeight w:val="83"/>
        </w:trPr>
        <w:tc>
          <w:tcPr>
            <w:tcW w:w="3402" w:type="dxa"/>
            <w:tcBorders>
              <w:top w:val="nil"/>
              <w:left w:val="nil"/>
              <w:bottom w:val="nil"/>
              <w:right w:val="nil"/>
            </w:tcBorders>
            <w:shd w:val="clear" w:color="auto" w:fill="auto"/>
            <w:noWrap/>
            <w:vAlign w:val="bottom"/>
          </w:tcPr>
          <w:p w14:paraId="068C8F64" w14:textId="44E56A61" w:rsidR="000C1A40" w:rsidRPr="001578CB" w:rsidRDefault="000C1A40" w:rsidP="000C1A40">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AEM</w:t>
            </w:r>
            <w:r w:rsidR="00AE10FE">
              <w:rPr>
                <w:rFonts w:ascii="Times New Roman" w:eastAsia="Times New Roman" w:hAnsi="Times New Roman" w:cs="Times New Roman"/>
                <w:sz w:val="20"/>
                <w:szCs w:val="20"/>
                <w:lang w:eastAsia="en-NZ"/>
              </w:rPr>
              <w:t>R</w:t>
            </w:r>
            <w:r w:rsidRPr="001578CB">
              <w:rPr>
                <w:rFonts w:ascii="Times New Roman" w:eastAsia="Times New Roman" w:hAnsi="Times New Roman" w:cs="Times New Roman"/>
                <w:sz w:val="20"/>
                <w:szCs w:val="20"/>
                <w:lang w:eastAsia="en-NZ"/>
              </w:rPr>
              <w:t>*LAW</w:t>
            </w:r>
          </w:p>
        </w:tc>
        <w:tc>
          <w:tcPr>
            <w:tcW w:w="1418" w:type="dxa"/>
            <w:tcBorders>
              <w:top w:val="nil"/>
              <w:left w:val="nil"/>
              <w:bottom w:val="nil"/>
              <w:right w:val="nil"/>
            </w:tcBorders>
            <w:shd w:val="clear" w:color="auto" w:fill="auto"/>
            <w:noWrap/>
            <w:vAlign w:val="bottom"/>
          </w:tcPr>
          <w:p w14:paraId="59659F5B"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2A9F5075"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3CDE6FA5" w14:textId="302EF676" w:rsidR="000C1A40" w:rsidRPr="00AC7EF4" w:rsidRDefault="00A41EF0" w:rsidP="000C1A40">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0C1A40" w:rsidRPr="001578CB">
              <w:rPr>
                <w:rFonts w:ascii="Times New Roman" w:hAnsi="Times New Roman" w:cs="Times New Roman"/>
                <w:color w:val="000000"/>
                <w:sz w:val="20"/>
                <w:szCs w:val="20"/>
              </w:rPr>
              <w:t>0.0151</w:t>
            </w:r>
          </w:p>
        </w:tc>
        <w:tc>
          <w:tcPr>
            <w:tcW w:w="1406" w:type="dxa"/>
            <w:tcBorders>
              <w:top w:val="nil"/>
              <w:left w:val="nil"/>
              <w:bottom w:val="nil"/>
              <w:right w:val="nil"/>
            </w:tcBorders>
            <w:shd w:val="clear" w:color="auto" w:fill="auto"/>
            <w:vAlign w:val="bottom"/>
          </w:tcPr>
          <w:p w14:paraId="3C6DF04C" w14:textId="77777777" w:rsidR="000C1A40" w:rsidRPr="00AC7EF4" w:rsidRDefault="000C1A40" w:rsidP="000C1A40">
            <w:pPr>
              <w:spacing w:after="0" w:line="240" w:lineRule="auto"/>
              <w:jc w:val="center"/>
              <w:rPr>
                <w:rFonts w:ascii="Times New Roman" w:hAnsi="Times New Roman" w:cs="Times New Roman"/>
                <w:sz w:val="20"/>
                <w:szCs w:val="20"/>
              </w:rPr>
            </w:pPr>
          </w:p>
        </w:tc>
      </w:tr>
      <w:tr w:rsidR="000C1A40" w:rsidRPr="00CC0FCE" w14:paraId="61F57CEA" w14:textId="77777777" w:rsidTr="001578CB">
        <w:trPr>
          <w:trHeight w:val="83"/>
        </w:trPr>
        <w:tc>
          <w:tcPr>
            <w:tcW w:w="3402" w:type="dxa"/>
            <w:tcBorders>
              <w:top w:val="nil"/>
              <w:left w:val="nil"/>
              <w:bottom w:val="nil"/>
              <w:right w:val="nil"/>
            </w:tcBorders>
            <w:shd w:val="clear" w:color="auto" w:fill="auto"/>
            <w:noWrap/>
            <w:vAlign w:val="bottom"/>
          </w:tcPr>
          <w:p w14:paraId="37A6F005" w14:textId="77777777" w:rsidR="000C1A40" w:rsidRPr="001578CB" w:rsidRDefault="000C1A40" w:rsidP="000C1A40">
            <w:pPr>
              <w:spacing w:after="0" w:line="240" w:lineRule="auto"/>
              <w:rPr>
                <w:rFonts w:ascii="Times New Roman" w:eastAsia="Times New Roman" w:hAnsi="Times New Roman" w:cs="Times New Roman"/>
                <w:sz w:val="20"/>
                <w:szCs w:val="20"/>
                <w:lang w:eastAsia="en-NZ"/>
              </w:rPr>
            </w:pPr>
          </w:p>
        </w:tc>
        <w:tc>
          <w:tcPr>
            <w:tcW w:w="1418" w:type="dxa"/>
            <w:tcBorders>
              <w:top w:val="nil"/>
              <w:left w:val="nil"/>
              <w:bottom w:val="nil"/>
              <w:right w:val="nil"/>
            </w:tcBorders>
            <w:shd w:val="clear" w:color="auto" w:fill="auto"/>
            <w:noWrap/>
            <w:vAlign w:val="bottom"/>
          </w:tcPr>
          <w:p w14:paraId="1A52C743"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74B307D7"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1340AD48" w14:textId="14B1E3F0" w:rsidR="000C1A40" w:rsidRPr="00AC7EF4" w:rsidRDefault="000C1A40" w:rsidP="000C1A40">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1.4222)</w:t>
            </w:r>
          </w:p>
        </w:tc>
        <w:tc>
          <w:tcPr>
            <w:tcW w:w="1406" w:type="dxa"/>
            <w:tcBorders>
              <w:top w:val="nil"/>
              <w:left w:val="nil"/>
              <w:bottom w:val="nil"/>
              <w:right w:val="nil"/>
            </w:tcBorders>
            <w:shd w:val="clear" w:color="auto" w:fill="auto"/>
            <w:vAlign w:val="bottom"/>
          </w:tcPr>
          <w:p w14:paraId="33446578" w14:textId="77777777" w:rsidR="000C1A40" w:rsidRPr="00AC7EF4" w:rsidRDefault="000C1A40" w:rsidP="000C1A40">
            <w:pPr>
              <w:spacing w:after="0" w:line="240" w:lineRule="auto"/>
              <w:jc w:val="center"/>
              <w:rPr>
                <w:rFonts w:ascii="Times New Roman" w:hAnsi="Times New Roman" w:cs="Times New Roman"/>
                <w:sz w:val="20"/>
                <w:szCs w:val="20"/>
              </w:rPr>
            </w:pPr>
          </w:p>
        </w:tc>
      </w:tr>
      <w:tr w:rsidR="000C1A40" w:rsidRPr="00CC0FCE" w14:paraId="76670577" w14:textId="77777777" w:rsidTr="001578CB">
        <w:trPr>
          <w:trHeight w:val="83"/>
        </w:trPr>
        <w:tc>
          <w:tcPr>
            <w:tcW w:w="3402" w:type="dxa"/>
            <w:tcBorders>
              <w:top w:val="nil"/>
              <w:left w:val="nil"/>
              <w:bottom w:val="nil"/>
              <w:right w:val="nil"/>
            </w:tcBorders>
            <w:shd w:val="clear" w:color="auto" w:fill="auto"/>
            <w:noWrap/>
            <w:vAlign w:val="bottom"/>
          </w:tcPr>
          <w:p w14:paraId="21C6126C" w14:textId="07822437" w:rsidR="000C1A40" w:rsidRPr="001578CB" w:rsidRDefault="000C1A40" w:rsidP="000C1A40">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RAM</w:t>
            </w:r>
            <w:r w:rsidR="00AE10FE">
              <w:rPr>
                <w:rFonts w:ascii="Times New Roman" w:eastAsia="Times New Roman" w:hAnsi="Times New Roman" w:cs="Times New Roman"/>
                <w:sz w:val="20"/>
                <w:szCs w:val="20"/>
                <w:lang w:eastAsia="en-NZ"/>
              </w:rPr>
              <w:t>R</w:t>
            </w:r>
            <w:r w:rsidRPr="001578CB">
              <w:rPr>
                <w:rFonts w:ascii="Times New Roman" w:eastAsia="Times New Roman" w:hAnsi="Times New Roman" w:cs="Times New Roman"/>
                <w:sz w:val="20"/>
                <w:szCs w:val="20"/>
                <w:lang w:eastAsia="en-NZ"/>
              </w:rPr>
              <w:t>*LAW</w:t>
            </w:r>
          </w:p>
        </w:tc>
        <w:tc>
          <w:tcPr>
            <w:tcW w:w="1418" w:type="dxa"/>
            <w:tcBorders>
              <w:top w:val="nil"/>
              <w:left w:val="nil"/>
              <w:bottom w:val="nil"/>
              <w:right w:val="nil"/>
            </w:tcBorders>
            <w:shd w:val="clear" w:color="auto" w:fill="auto"/>
            <w:noWrap/>
            <w:vAlign w:val="bottom"/>
          </w:tcPr>
          <w:p w14:paraId="46BD84E9"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6FA0CA04"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0672E076" w14:textId="26B40409" w:rsidR="000C1A40" w:rsidRPr="00AC7EF4" w:rsidRDefault="00A41EF0" w:rsidP="000C1A40">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0C1A40" w:rsidRPr="001578CB">
              <w:rPr>
                <w:rFonts w:ascii="Times New Roman" w:hAnsi="Times New Roman" w:cs="Times New Roman"/>
                <w:color w:val="000000"/>
                <w:sz w:val="20"/>
                <w:szCs w:val="20"/>
              </w:rPr>
              <w:t>0.0998***</w:t>
            </w:r>
          </w:p>
        </w:tc>
        <w:tc>
          <w:tcPr>
            <w:tcW w:w="1406" w:type="dxa"/>
            <w:tcBorders>
              <w:top w:val="nil"/>
              <w:left w:val="nil"/>
              <w:bottom w:val="nil"/>
              <w:right w:val="nil"/>
            </w:tcBorders>
            <w:shd w:val="clear" w:color="auto" w:fill="auto"/>
            <w:vAlign w:val="bottom"/>
          </w:tcPr>
          <w:p w14:paraId="0019BCA7" w14:textId="77777777" w:rsidR="000C1A40" w:rsidRPr="00AC7EF4" w:rsidRDefault="000C1A40" w:rsidP="000C1A40">
            <w:pPr>
              <w:spacing w:after="0" w:line="240" w:lineRule="auto"/>
              <w:jc w:val="center"/>
              <w:rPr>
                <w:rFonts w:ascii="Times New Roman" w:hAnsi="Times New Roman" w:cs="Times New Roman"/>
                <w:sz w:val="20"/>
                <w:szCs w:val="20"/>
              </w:rPr>
            </w:pPr>
          </w:p>
        </w:tc>
      </w:tr>
      <w:tr w:rsidR="000C1A40" w:rsidRPr="00CC0FCE" w14:paraId="0758E500" w14:textId="77777777" w:rsidTr="001578CB">
        <w:trPr>
          <w:trHeight w:val="83"/>
        </w:trPr>
        <w:tc>
          <w:tcPr>
            <w:tcW w:w="3402" w:type="dxa"/>
            <w:tcBorders>
              <w:top w:val="nil"/>
              <w:left w:val="nil"/>
              <w:bottom w:val="nil"/>
              <w:right w:val="nil"/>
            </w:tcBorders>
            <w:shd w:val="clear" w:color="auto" w:fill="auto"/>
            <w:noWrap/>
            <w:vAlign w:val="bottom"/>
          </w:tcPr>
          <w:p w14:paraId="6949AC47" w14:textId="77777777" w:rsidR="000C1A40" w:rsidRPr="001578CB" w:rsidRDefault="000C1A40" w:rsidP="000C1A40">
            <w:pPr>
              <w:spacing w:after="0" w:line="240" w:lineRule="auto"/>
              <w:rPr>
                <w:rFonts w:ascii="Times New Roman" w:eastAsia="Times New Roman" w:hAnsi="Times New Roman" w:cs="Times New Roman"/>
                <w:sz w:val="20"/>
                <w:szCs w:val="20"/>
                <w:lang w:eastAsia="en-NZ"/>
              </w:rPr>
            </w:pPr>
          </w:p>
        </w:tc>
        <w:tc>
          <w:tcPr>
            <w:tcW w:w="1418" w:type="dxa"/>
            <w:tcBorders>
              <w:top w:val="nil"/>
              <w:left w:val="nil"/>
              <w:bottom w:val="nil"/>
              <w:right w:val="nil"/>
            </w:tcBorders>
            <w:shd w:val="clear" w:color="auto" w:fill="auto"/>
            <w:noWrap/>
            <w:vAlign w:val="bottom"/>
          </w:tcPr>
          <w:p w14:paraId="4A63059F"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53DB78D5" w14:textId="77777777" w:rsidR="000C1A40" w:rsidRPr="00AC7EF4" w:rsidRDefault="000C1A40" w:rsidP="000C1A40">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25B75594" w14:textId="630B8DA2" w:rsidR="000C1A40" w:rsidRPr="00AC7EF4" w:rsidRDefault="000C1A40" w:rsidP="000C1A40">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9.4515)</w:t>
            </w:r>
          </w:p>
        </w:tc>
        <w:tc>
          <w:tcPr>
            <w:tcW w:w="1406" w:type="dxa"/>
            <w:tcBorders>
              <w:top w:val="nil"/>
              <w:left w:val="nil"/>
              <w:bottom w:val="nil"/>
              <w:right w:val="nil"/>
            </w:tcBorders>
            <w:shd w:val="clear" w:color="auto" w:fill="auto"/>
            <w:vAlign w:val="bottom"/>
          </w:tcPr>
          <w:p w14:paraId="055ACC36" w14:textId="77777777" w:rsidR="000C1A40" w:rsidRPr="00AC7EF4" w:rsidRDefault="000C1A40" w:rsidP="000C1A40">
            <w:pPr>
              <w:spacing w:after="0" w:line="240" w:lineRule="auto"/>
              <w:jc w:val="center"/>
              <w:rPr>
                <w:rFonts w:ascii="Times New Roman" w:hAnsi="Times New Roman" w:cs="Times New Roman"/>
                <w:sz w:val="20"/>
                <w:szCs w:val="20"/>
              </w:rPr>
            </w:pPr>
          </w:p>
        </w:tc>
      </w:tr>
      <w:tr w:rsidR="00A24DF3" w:rsidRPr="00CC0FCE" w14:paraId="5BC46577" w14:textId="77777777" w:rsidTr="001578CB">
        <w:trPr>
          <w:trHeight w:val="83"/>
        </w:trPr>
        <w:tc>
          <w:tcPr>
            <w:tcW w:w="3402" w:type="dxa"/>
            <w:tcBorders>
              <w:top w:val="nil"/>
              <w:left w:val="nil"/>
              <w:bottom w:val="nil"/>
              <w:right w:val="nil"/>
            </w:tcBorders>
            <w:shd w:val="clear" w:color="auto" w:fill="auto"/>
            <w:noWrap/>
            <w:vAlign w:val="bottom"/>
          </w:tcPr>
          <w:p w14:paraId="7855D902" w14:textId="4D455AD0" w:rsidR="00A24DF3" w:rsidRPr="001578CB" w:rsidRDefault="00A24DF3" w:rsidP="00A24DF3">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TAR</w:t>
            </w:r>
            <w:r w:rsidR="00AE10FE">
              <w:rPr>
                <w:rFonts w:ascii="Times New Roman" w:eastAsia="Times New Roman" w:hAnsi="Times New Roman" w:cs="Times New Roman"/>
                <w:sz w:val="20"/>
                <w:szCs w:val="20"/>
                <w:lang w:eastAsia="en-NZ"/>
              </w:rPr>
              <w:t>R</w:t>
            </w:r>
            <w:r w:rsidRPr="001578CB">
              <w:rPr>
                <w:rFonts w:ascii="Times New Roman" w:eastAsia="Times New Roman" w:hAnsi="Times New Roman" w:cs="Times New Roman"/>
                <w:sz w:val="20"/>
                <w:szCs w:val="20"/>
                <w:lang w:eastAsia="en-NZ"/>
              </w:rPr>
              <w:t>*LAW</w:t>
            </w:r>
          </w:p>
        </w:tc>
        <w:tc>
          <w:tcPr>
            <w:tcW w:w="1418" w:type="dxa"/>
            <w:tcBorders>
              <w:top w:val="nil"/>
              <w:left w:val="nil"/>
              <w:bottom w:val="nil"/>
              <w:right w:val="nil"/>
            </w:tcBorders>
            <w:shd w:val="clear" w:color="auto" w:fill="auto"/>
            <w:noWrap/>
            <w:vAlign w:val="bottom"/>
          </w:tcPr>
          <w:p w14:paraId="107321C8"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2BE3B978"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5A4EF2D4" w14:textId="77777777" w:rsidR="00A24DF3" w:rsidRPr="00AC7EF4" w:rsidRDefault="00A24DF3" w:rsidP="00A24DF3">
            <w:pPr>
              <w:spacing w:after="0" w:line="240" w:lineRule="auto"/>
              <w:jc w:val="center"/>
              <w:rPr>
                <w:rFonts w:ascii="Times New Roman" w:eastAsia="Times New Roman" w:hAnsi="Times New Roman" w:cs="Times New Roman"/>
                <w:sz w:val="20"/>
                <w:szCs w:val="20"/>
                <w:lang w:eastAsia="en-NZ"/>
              </w:rPr>
            </w:pPr>
          </w:p>
        </w:tc>
        <w:tc>
          <w:tcPr>
            <w:tcW w:w="1406" w:type="dxa"/>
            <w:tcBorders>
              <w:top w:val="nil"/>
              <w:left w:val="nil"/>
              <w:bottom w:val="nil"/>
              <w:right w:val="nil"/>
            </w:tcBorders>
            <w:shd w:val="clear" w:color="auto" w:fill="auto"/>
            <w:vAlign w:val="bottom"/>
          </w:tcPr>
          <w:p w14:paraId="21C69EBC" w14:textId="78B9CB08" w:rsidR="00A24DF3" w:rsidRPr="00AC7EF4" w:rsidRDefault="00A41EF0" w:rsidP="00A24DF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A24DF3" w:rsidRPr="001578CB">
              <w:rPr>
                <w:rFonts w:ascii="Times New Roman" w:hAnsi="Times New Roman" w:cs="Times New Roman"/>
                <w:color w:val="000000"/>
                <w:sz w:val="20"/>
                <w:szCs w:val="20"/>
              </w:rPr>
              <w:t>0.0242**</w:t>
            </w:r>
          </w:p>
        </w:tc>
      </w:tr>
      <w:tr w:rsidR="00A24DF3" w:rsidRPr="00CC0FCE" w14:paraId="701CA3CE" w14:textId="77777777" w:rsidTr="001578CB">
        <w:trPr>
          <w:trHeight w:val="83"/>
        </w:trPr>
        <w:tc>
          <w:tcPr>
            <w:tcW w:w="3402" w:type="dxa"/>
            <w:tcBorders>
              <w:top w:val="nil"/>
              <w:left w:val="nil"/>
              <w:bottom w:val="nil"/>
              <w:right w:val="nil"/>
            </w:tcBorders>
            <w:shd w:val="clear" w:color="auto" w:fill="auto"/>
            <w:noWrap/>
            <w:vAlign w:val="bottom"/>
          </w:tcPr>
          <w:p w14:paraId="187577E6" w14:textId="77777777" w:rsidR="00A24DF3" w:rsidRPr="001578CB" w:rsidRDefault="00A24DF3" w:rsidP="00A24DF3">
            <w:pPr>
              <w:spacing w:after="0" w:line="240" w:lineRule="auto"/>
              <w:rPr>
                <w:rFonts w:ascii="Times New Roman" w:eastAsia="Times New Roman" w:hAnsi="Times New Roman" w:cs="Times New Roman"/>
                <w:sz w:val="20"/>
                <w:szCs w:val="20"/>
                <w:lang w:eastAsia="en-NZ"/>
              </w:rPr>
            </w:pPr>
          </w:p>
        </w:tc>
        <w:tc>
          <w:tcPr>
            <w:tcW w:w="1418" w:type="dxa"/>
            <w:tcBorders>
              <w:top w:val="nil"/>
              <w:left w:val="nil"/>
              <w:bottom w:val="nil"/>
              <w:right w:val="nil"/>
            </w:tcBorders>
            <w:shd w:val="clear" w:color="auto" w:fill="auto"/>
            <w:noWrap/>
            <w:vAlign w:val="bottom"/>
          </w:tcPr>
          <w:p w14:paraId="6D857B15"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34CFCE3D"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2327CC82" w14:textId="77777777" w:rsidR="00A24DF3" w:rsidRPr="00AC7EF4" w:rsidRDefault="00A24DF3" w:rsidP="00A24DF3">
            <w:pPr>
              <w:spacing w:after="0" w:line="240" w:lineRule="auto"/>
              <w:jc w:val="center"/>
              <w:rPr>
                <w:rFonts w:ascii="Times New Roman" w:eastAsia="Times New Roman" w:hAnsi="Times New Roman" w:cs="Times New Roman"/>
                <w:sz w:val="20"/>
                <w:szCs w:val="20"/>
                <w:lang w:eastAsia="en-NZ"/>
              </w:rPr>
            </w:pPr>
          </w:p>
        </w:tc>
        <w:tc>
          <w:tcPr>
            <w:tcW w:w="1406" w:type="dxa"/>
            <w:tcBorders>
              <w:top w:val="nil"/>
              <w:left w:val="nil"/>
              <w:bottom w:val="nil"/>
              <w:right w:val="nil"/>
            </w:tcBorders>
            <w:shd w:val="clear" w:color="auto" w:fill="auto"/>
            <w:vAlign w:val="bottom"/>
          </w:tcPr>
          <w:p w14:paraId="48DD629B" w14:textId="0AAEDA36" w:rsidR="00A24DF3" w:rsidRPr="00AC7EF4" w:rsidRDefault="00A24DF3" w:rsidP="00A24DF3">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A41EF0">
              <w:rPr>
                <w:rFonts w:ascii="Times New Roman" w:hAnsi="Times New Roman" w:cs="Times New Roman"/>
                <w:color w:val="000000"/>
                <w:sz w:val="20"/>
                <w:szCs w:val="20"/>
              </w:rPr>
              <w:t>-</w:t>
            </w:r>
            <w:r w:rsidRPr="001578CB">
              <w:rPr>
                <w:rFonts w:ascii="Times New Roman" w:hAnsi="Times New Roman" w:cs="Times New Roman"/>
                <w:color w:val="000000"/>
                <w:sz w:val="20"/>
                <w:szCs w:val="20"/>
              </w:rPr>
              <w:t>2.3630)</w:t>
            </w:r>
          </w:p>
        </w:tc>
      </w:tr>
      <w:tr w:rsidR="00A24DF3" w:rsidRPr="00CC0FCE" w14:paraId="54B03483" w14:textId="77777777" w:rsidTr="001578CB">
        <w:trPr>
          <w:trHeight w:val="83"/>
        </w:trPr>
        <w:tc>
          <w:tcPr>
            <w:tcW w:w="3402" w:type="dxa"/>
            <w:tcBorders>
              <w:top w:val="nil"/>
              <w:left w:val="nil"/>
              <w:bottom w:val="nil"/>
              <w:right w:val="nil"/>
            </w:tcBorders>
            <w:shd w:val="clear" w:color="auto" w:fill="auto"/>
            <w:noWrap/>
            <w:vAlign w:val="bottom"/>
          </w:tcPr>
          <w:p w14:paraId="15C50B54" w14:textId="77777777" w:rsidR="00A24DF3" w:rsidRPr="001578CB" w:rsidRDefault="00A24DF3" w:rsidP="00A24DF3">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LAW</w:t>
            </w:r>
          </w:p>
        </w:tc>
        <w:tc>
          <w:tcPr>
            <w:tcW w:w="1418" w:type="dxa"/>
            <w:tcBorders>
              <w:top w:val="nil"/>
              <w:left w:val="nil"/>
              <w:bottom w:val="nil"/>
              <w:right w:val="nil"/>
            </w:tcBorders>
            <w:shd w:val="clear" w:color="auto" w:fill="auto"/>
            <w:noWrap/>
            <w:vAlign w:val="bottom"/>
          </w:tcPr>
          <w:p w14:paraId="435041CC"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78F9165B"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06DBACCE" w14:textId="70F5F719" w:rsidR="00A24DF3" w:rsidRPr="00AC7EF4" w:rsidRDefault="00A24DF3" w:rsidP="00A24DF3">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0.0333</w:t>
            </w:r>
          </w:p>
        </w:tc>
        <w:tc>
          <w:tcPr>
            <w:tcW w:w="1406" w:type="dxa"/>
            <w:tcBorders>
              <w:top w:val="nil"/>
              <w:left w:val="nil"/>
              <w:bottom w:val="nil"/>
              <w:right w:val="nil"/>
            </w:tcBorders>
            <w:shd w:val="clear" w:color="auto" w:fill="auto"/>
            <w:vAlign w:val="bottom"/>
          </w:tcPr>
          <w:p w14:paraId="3481052C" w14:textId="27155DBD" w:rsidR="00A24DF3" w:rsidRPr="00AC7EF4" w:rsidRDefault="00A24DF3" w:rsidP="00A24DF3">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0.0654***</w:t>
            </w:r>
          </w:p>
        </w:tc>
      </w:tr>
      <w:tr w:rsidR="00A24DF3" w:rsidRPr="00CC0FCE" w14:paraId="2E78A15A" w14:textId="77777777" w:rsidTr="001578CB">
        <w:trPr>
          <w:trHeight w:val="83"/>
        </w:trPr>
        <w:tc>
          <w:tcPr>
            <w:tcW w:w="3402" w:type="dxa"/>
            <w:tcBorders>
              <w:top w:val="nil"/>
              <w:left w:val="nil"/>
              <w:bottom w:val="nil"/>
              <w:right w:val="nil"/>
            </w:tcBorders>
            <w:shd w:val="clear" w:color="auto" w:fill="auto"/>
            <w:noWrap/>
            <w:vAlign w:val="bottom"/>
          </w:tcPr>
          <w:p w14:paraId="06DB6307" w14:textId="77777777" w:rsidR="00A24DF3" w:rsidRPr="00EA3310" w:rsidRDefault="00A24DF3" w:rsidP="00A24DF3">
            <w:pPr>
              <w:spacing w:after="0" w:line="240" w:lineRule="auto"/>
              <w:rPr>
                <w:rFonts w:ascii="Times New Roman" w:eastAsia="Times New Roman" w:hAnsi="Times New Roman" w:cs="Times New Roman"/>
                <w:i/>
                <w:iCs/>
                <w:sz w:val="20"/>
                <w:szCs w:val="20"/>
                <w:lang w:eastAsia="en-NZ"/>
              </w:rPr>
            </w:pPr>
          </w:p>
        </w:tc>
        <w:tc>
          <w:tcPr>
            <w:tcW w:w="1418" w:type="dxa"/>
            <w:tcBorders>
              <w:top w:val="nil"/>
              <w:left w:val="nil"/>
              <w:bottom w:val="nil"/>
              <w:right w:val="nil"/>
            </w:tcBorders>
            <w:shd w:val="clear" w:color="auto" w:fill="auto"/>
            <w:noWrap/>
            <w:vAlign w:val="bottom"/>
          </w:tcPr>
          <w:p w14:paraId="2972CA6D"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33CC8AFE" w14:textId="77777777" w:rsidR="00A24DF3" w:rsidRPr="00AC7EF4" w:rsidRDefault="00A24DF3" w:rsidP="00A24DF3">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48FD127B" w14:textId="79B9E59C" w:rsidR="00A24DF3" w:rsidRPr="00AC7EF4" w:rsidRDefault="00A24DF3" w:rsidP="00A24DF3">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(1.6040)</w:t>
            </w:r>
          </w:p>
        </w:tc>
        <w:tc>
          <w:tcPr>
            <w:tcW w:w="1406" w:type="dxa"/>
            <w:tcBorders>
              <w:top w:val="nil"/>
              <w:left w:val="nil"/>
              <w:bottom w:val="nil"/>
              <w:right w:val="nil"/>
            </w:tcBorders>
            <w:shd w:val="clear" w:color="auto" w:fill="auto"/>
            <w:vAlign w:val="bottom"/>
          </w:tcPr>
          <w:p w14:paraId="2FBADB37" w14:textId="6BAA9C96" w:rsidR="00A24DF3" w:rsidRPr="00AC7EF4" w:rsidRDefault="00A24DF3" w:rsidP="00A24DF3">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(3.1828)</w:t>
            </w:r>
          </w:p>
        </w:tc>
      </w:tr>
      <w:tr w:rsidR="00952F3A" w:rsidRPr="00CC0FCE" w14:paraId="080EE3E1" w14:textId="77777777" w:rsidTr="001578CB">
        <w:trPr>
          <w:trHeight w:val="83"/>
        </w:trPr>
        <w:tc>
          <w:tcPr>
            <w:tcW w:w="3402" w:type="dxa"/>
            <w:tcBorders>
              <w:top w:val="nil"/>
              <w:left w:val="nil"/>
              <w:bottom w:val="nil"/>
              <w:right w:val="nil"/>
            </w:tcBorders>
            <w:shd w:val="clear" w:color="auto" w:fill="auto"/>
            <w:noWrap/>
            <w:vAlign w:val="bottom"/>
          </w:tcPr>
          <w:p w14:paraId="29EFF682" w14:textId="4E804545" w:rsidR="00952F3A" w:rsidRPr="00EA3310" w:rsidRDefault="00952F3A" w:rsidP="00952F3A">
            <w:pPr>
              <w:spacing w:after="0" w:line="240" w:lineRule="auto"/>
              <w:rPr>
                <w:rFonts w:ascii="Times New Roman" w:eastAsia="Times New Roman" w:hAnsi="Times New Roman" w:cs="Times New Roman"/>
                <w:i/>
                <w:iCs/>
                <w:sz w:val="20"/>
                <w:szCs w:val="20"/>
                <w:lang w:eastAsia="en-NZ"/>
              </w:rPr>
            </w:pPr>
            <w:r w:rsidRPr="00CC0FCE">
              <w:rPr>
                <w:rFonts w:ascii="Times New Roman" w:eastAsia="Times New Roman" w:hAnsi="Times New Roman" w:cs="Times New Roman"/>
                <w:sz w:val="20"/>
                <w:szCs w:val="20"/>
                <w:lang w:eastAsia="en-NZ"/>
              </w:rPr>
              <w:t>Constant</w:t>
            </w:r>
          </w:p>
        </w:tc>
        <w:tc>
          <w:tcPr>
            <w:tcW w:w="1418" w:type="dxa"/>
            <w:tcBorders>
              <w:top w:val="nil"/>
              <w:left w:val="nil"/>
              <w:bottom w:val="nil"/>
              <w:right w:val="nil"/>
            </w:tcBorders>
            <w:shd w:val="clear" w:color="auto" w:fill="auto"/>
            <w:noWrap/>
            <w:vAlign w:val="bottom"/>
          </w:tcPr>
          <w:p w14:paraId="75D09CCF" w14:textId="5B58008D" w:rsidR="00952F3A" w:rsidRPr="00AC7EF4" w:rsidRDefault="00952F3A" w:rsidP="00952F3A">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-0.0301</w:t>
            </w:r>
          </w:p>
        </w:tc>
        <w:tc>
          <w:tcPr>
            <w:tcW w:w="1559" w:type="dxa"/>
            <w:tcBorders>
              <w:top w:val="nil"/>
              <w:left w:val="nil"/>
              <w:bottom w:val="nil"/>
              <w:right w:val="nil"/>
            </w:tcBorders>
            <w:shd w:val="clear" w:color="auto" w:fill="auto"/>
            <w:noWrap/>
            <w:vAlign w:val="bottom"/>
          </w:tcPr>
          <w:p w14:paraId="5F1CAB41" w14:textId="33B58FFC" w:rsidR="00952F3A" w:rsidRPr="00AC7EF4" w:rsidRDefault="00952F3A" w:rsidP="00952F3A">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-0.0301</w:t>
            </w:r>
          </w:p>
        </w:tc>
        <w:tc>
          <w:tcPr>
            <w:tcW w:w="1276" w:type="dxa"/>
            <w:tcBorders>
              <w:top w:val="nil"/>
              <w:left w:val="nil"/>
              <w:bottom w:val="nil"/>
              <w:right w:val="nil"/>
            </w:tcBorders>
            <w:shd w:val="clear" w:color="auto" w:fill="auto"/>
            <w:noWrap/>
            <w:vAlign w:val="bottom"/>
          </w:tcPr>
          <w:p w14:paraId="69E2D8C4" w14:textId="50E22631" w:rsidR="00952F3A" w:rsidRPr="001578CB" w:rsidRDefault="00952F3A" w:rsidP="00952F3A">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-0.0400</w:t>
            </w:r>
          </w:p>
        </w:tc>
        <w:tc>
          <w:tcPr>
            <w:tcW w:w="1406" w:type="dxa"/>
            <w:tcBorders>
              <w:top w:val="nil"/>
              <w:left w:val="nil"/>
              <w:bottom w:val="nil"/>
              <w:right w:val="nil"/>
            </w:tcBorders>
            <w:shd w:val="clear" w:color="auto" w:fill="auto"/>
            <w:vAlign w:val="bottom"/>
          </w:tcPr>
          <w:p w14:paraId="3EA2D695" w14:textId="462A9C8A" w:rsidR="00952F3A" w:rsidRPr="001578CB" w:rsidRDefault="00952F3A" w:rsidP="00952F3A">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-0.0358</w:t>
            </w:r>
          </w:p>
        </w:tc>
      </w:tr>
      <w:tr w:rsidR="00952F3A" w:rsidRPr="00CC0FCE" w14:paraId="7B5579ED" w14:textId="77777777" w:rsidTr="001578CB">
        <w:trPr>
          <w:trHeight w:val="83"/>
        </w:trPr>
        <w:tc>
          <w:tcPr>
            <w:tcW w:w="3402" w:type="dxa"/>
            <w:tcBorders>
              <w:top w:val="nil"/>
              <w:left w:val="nil"/>
              <w:bottom w:val="nil"/>
              <w:right w:val="nil"/>
            </w:tcBorders>
            <w:shd w:val="clear" w:color="auto" w:fill="auto"/>
            <w:noWrap/>
            <w:vAlign w:val="bottom"/>
          </w:tcPr>
          <w:p w14:paraId="4448BA95" w14:textId="3584B913" w:rsidR="00952F3A" w:rsidRPr="00EA3310" w:rsidRDefault="00952F3A" w:rsidP="00952F3A">
            <w:pPr>
              <w:spacing w:after="0" w:line="240" w:lineRule="auto"/>
              <w:rPr>
                <w:rFonts w:ascii="Times New Roman" w:eastAsia="Times New Roman" w:hAnsi="Times New Roman" w:cs="Times New Roman"/>
                <w:i/>
                <w:iCs/>
                <w:sz w:val="20"/>
                <w:szCs w:val="20"/>
                <w:lang w:eastAsia="en-NZ"/>
              </w:rPr>
            </w:pPr>
          </w:p>
        </w:tc>
        <w:tc>
          <w:tcPr>
            <w:tcW w:w="1418" w:type="dxa"/>
            <w:tcBorders>
              <w:top w:val="nil"/>
              <w:left w:val="nil"/>
              <w:bottom w:val="nil"/>
              <w:right w:val="nil"/>
            </w:tcBorders>
            <w:shd w:val="clear" w:color="auto" w:fill="auto"/>
            <w:noWrap/>
            <w:vAlign w:val="bottom"/>
          </w:tcPr>
          <w:p w14:paraId="352AAEA9" w14:textId="5F333E56" w:rsidR="00952F3A" w:rsidRPr="00AC7EF4" w:rsidRDefault="00952F3A" w:rsidP="00952F3A">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(-0.7879)</w:t>
            </w:r>
          </w:p>
        </w:tc>
        <w:tc>
          <w:tcPr>
            <w:tcW w:w="1559" w:type="dxa"/>
            <w:tcBorders>
              <w:top w:val="nil"/>
              <w:left w:val="nil"/>
              <w:bottom w:val="nil"/>
              <w:right w:val="nil"/>
            </w:tcBorders>
            <w:shd w:val="clear" w:color="auto" w:fill="auto"/>
            <w:noWrap/>
            <w:vAlign w:val="bottom"/>
          </w:tcPr>
          <w:p w14:paraId="417B5CA4" w14:textId="1EFA25F4" w:rsidR="00952F3A" w:rsidRPr="00AC7EF4" w:rsidRDefault="00952F3A" w:rsidP="00952F3A">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(-0.7885)</w:t>
            </w:r>
          </w:p>
        </w:tc>
        <w:tc>
          <w:tcPr>
            <w:tcW w:w="1276" w:type="dxa"/>
            <w:tcBorders>
              <w:top w:val="nil"/>
              <w:left w:val="nil"/>
              <w:bottom w:val="nil"/>
              <w:right w:val="nil"/>
            </w:tcBorders>
            <w:shd w:val="clear" w:color="auto" w:fill="auto"/>
            <w:noWrap/>
            <w:vAlign w:val="bottom"/>
          </w:tcPr>
          <w:p w14:paraId="349DD1DA" w14:textId="697EB245" w:rsidR="00952F3A" w:rsidRPr="001578CB" w:rsidRDefault="00952F3A" w:rsidP="00952F3A">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(-1.0508)</w:t>
            </w:r>
          </w:p>
        </w:tc>
        <w:tc>
          <w:tcPr>
            <w:tcW w:w="1406" w:type="dxa"/>
            <w:tcBorders>
              <w:top w:val="nil"/>
              <w:left w:val="nil"/>
              <w:bottom w:val="nil"/>
              <w:right w:val="nil"/>
            </w:tcBorders>
            <w:shd w:val="clear" w:color="auto" w:fill="auto"/>
            <w:vAlign w:val="bottom"/>
          </w:tcPr>
          <w:p w14:paraId="25885C9B" w14:textId="15540642" w:rsidR="00952F3A" w:rsidRPr="001578CB" w:rsidRDefault="00952F3A" w:rsidP="00952F3A">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(-0.9365)</w:t>
            </w:r>
          </w:p>
        </w:tc>
      </w:tr>
      <w:tr w:rsidR="00D062D6" w:rsidRPr="00CC0FCE" w14:paraId="0DDBD713" w14:textId="77777777" w:rsidTr="001578CB">
        <w:trPr>
          <w:trHeight w:val="140"/>
        </w:trPr>
        <w:tc>
          <w:tcPr>
            <w:tcW w:w="3402" w:type="dxa"/>
            <w:tcBorders>
              <w:top w:val="nil"/>
              <w:left w:val="nil"/>
              <w:bottom w:val="nil"/>
              <w:right w:val="nil"/>
            </w:tcBorders>
            <w:shd w:val="clear" w:color="auto" w:fill="auto"/>
            <w:noWrap/>
            <w:vAlign w:val="bottom"/>
            <w:hideMark/>
          </w:tcPr>
          <w:p w14:paraId="529C3F24" w14:textId="77777777" w:rsidR="00D062D6" w:rsidRPr="00CC0FCE" w:rsidRDefault="00D062D6" w:rsidP="00D062D6">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Controls</w:t>
            </w:r>
          </w:p>
        </w:tc>
        <w:tc>
          <w:tcPr>
            <w:tcW w:w="1418" w:type="dxa"/>
            <w:tcBorders>
              <w:top w:val="nil"/>
              <w:left w:val="nil"/>
              <w:bottom w:val="nil"/>
              <w:right w:val="nil"/>
            </w:tcBorders>
            <w:shd w:val="clear" w:color="auto" w:fill="auto"/>
            <w:noWrap/>
          </w:tcPr>
          <w:p w14:paraId="4F2F3C37"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559" w:type="dxa"/>
            <w:tcBorders>
              <w:top w:val="nil"/>
              <w:left w:val="nil"/>
              <w:bottom w:val="nil"/>
              <w:right w:val="nil"/>
            </w:tcBorders>
            <w:shd w:val="clear" w:color="auto" w:fill="auto"/>
            <w:noWrap/>
          </w:tcPr>
          <w:p w14:paraId="6225F8A6"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276" w:type="dxa"/>
            <w:tcBorders>
              <w:top w:val="nil"/>
              <w:left w:val="nil"/>
              <w:bottom w:val="nil"/>
              <w:right w:val="nil"/>
            </w:tcBorders>
            <w:shd w:val="clear" w:color="auto" w:fill="auto"/>
            <w:noWrap/>
          </w:tcPr>
          <w:p w14:paraId="65C0DD02"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406" w:type="dxa"/>
            <w:tcBorders>
              <w:top w:val="nil"/>
              <w:left w:val="nil"/>
              <w:bottom w:val="nil"/>
              <w:right w:val="nil"/>
            </w:tcBorders>
          </w:tcPr>
          <w:p w14:paraId="32EB745D"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r>
      <w:tr w:rsidR="00D062D6" w:rsidRPr="00CC0FCE" w14:paraId="33BFCB03" w14:textId="77777777" w:rsidTr="001578CB">
        <w:trPr>
          <w:trHeight w:val="177"/>
        </w:trPr>
        <w:tc>
          <w:tcPr>
            <w:tcW w:w="3402" w:type="dxa"/>
            <w:tcBorders>
              <w:top w:val="nil"/>
              <w:left w:val="nil"/>
              <w:bottom w:val="nil"/>
              <w:right w:val="nil"/>
            </w:tcBorders>
            <w:shd w:val="clear" w:color="auto" w:fill="auto"/>
            <w:noWrap/>
            <w:vAlign w:val="bottom"/>
            <w:hideMark/>
          </w:tcPr>
          <w:p w14:paraId="09E0B9AE" w14:textId="77777777" w:rsidR="00D062D6" w:rsidRPr="00CC0FCE" w:rsidRDefault="00D062D6" w:rsidP="00D062D6">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Industry FE</w:t>
            </w:r>
          </w:p>
        </w:tc>
        <w:tc>
          <w:tcPr>
            <w:tcW w:w="1418" w:type="dxa"/>
            <w:tcBorders>
              <w:top w:val="nil"/>
              <w:left w:val="nil"/>
              <w:bottom w:val="nil"/>
              <w:right w:val="nil"/>
            </w:tcBorders>
            <w:shd w:val="clear" w:color="auto" w:fill="auto"/>
            <w:noWrap/>
            <w:vAlign w:val="bottom"/>
            <w:hideMark/>
          </w:tcPr>
          <w:p w14:paraId="0D4004FB"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559" w:type="dxa"/>
            <w:tcBorders>
              <w:top w:val="nil"/>
              <w:left w:val="nil"/>
              <w:bottom w:val="nil"/>
              <w:right w:val="nil"/>
            </w:tcBorders>
            <w:shd w:val="clear" w:color="auto" w:fill="auto"/>
            <w:noWrap/>
            <w:vAlign w:val="bottom"/>
            <w:hideMark/>
          </w:tcPr>
          <w:p w14:paraId="6C0BD092"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276" w:type="dxa"/>
            <w:tcBorders>
              <w:top w:val="nil"/>
              <w:left w:val="nil"/>
              <w:bottom w:val="nil"/>
              <w:right w:val="nil"/>
            </w:tcBorders>
            <w:shd w:val="clear" w:color="auto" w:fill="auto"/>
            <w:noWrap/>
            <w:hideMark/>
          </w:tcPr>
          <w:p w14:paraId="1C4D6482"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406" w:type="dxa"/>
            <w:tcBorders>
              <w:top w:val="nil"/>
              <w:left w:val="nil"/>
              <w:bottom w:val="nil"/>
              <w:right w:val="nil"/>
            </w:tcBorders>
          </w:tcPr>
          <w:p w14:paraId="60157F41"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r>
      <w:tr w:rsidR="00D062D6" w:rsidRPr="00CC0FCE" w14:paraId="7EC5A711" w14:textId="77777777" w:rsidTr="001578CB">
        <w:trPr>
          <w:trHeight w:val="83"/>
        </w:trPr>
        <w:tc>
          <w:tcPr>
            <w:tcW w:w="3402" w:type="dxa"/>
            <w:tcBorders>
              <w:top w:val="nil"/>
              <w:left w:val="nil"/>
              <w:bottom w:val="nil"/>
              <w:right w:val="nil"/>
            </w:tcBorders>
            <w:shd w:val="clear" w:color="auto" w:fill="auto"/>
            <w:noWrap/>
            <w:vAlign w:val="bottom"/>
            <w:hideMark/>
          </w:tcPr>
          <w:p w14:paraId="5DBC8CED" w14:textId="77777777" w:rsidR="00D062D6" w:rsidRPr="00CC0FCE" w:rsidRDefault="00D062D6" w:rsidP="00D062D6">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Year FE</w:t>
            </w:r>
          </w:p>
        </w:tc>
        <w:tc>
          <w:tcPr>
            <w:tcW w:w="1418" w:type="dxa"/>
            <w:tcBorders>
              <w:top w:val="nil"/>
              <w:left w:val="nil"/>
              <w:bottom w:val="nil"/>
              <w:right w:val="nil"/>
            </w:tcBorders>
            <w:shd w:val="clear" w:color="auto" w:fill="auto"/>
            <w:noWrap/>
            <w:vAlign w:val="bottom"/>
            <w:hideMark/>
          </w:tcPr>
          <w:p w14:paraId="257748B3"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559" w:type="dxa"/>
            <w:tcBorders>
              <w:top w:val="nil"/>
              <w:left w:val="nil"/>
              <w:bottom w:val="nil"/>
              <w:right w:val="nil"/>
            </w:tcBorders>
            <w:shd w:val="clear" w:color="auto" w:fill="auto"/>
            <w:noWrap/>
            <w:vAlign w:val="bottom"/>
            <w:hideMark/>
          </w:tcPr>
          <w:p w14:paraId="6C2CC461"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276" w:type="dxa"/>
            <w:tcBorders>
              <w:top w:val="nil"/>
              <w:left w:val="nil"/>
              <w:bottom w:val="nil"/>
              <w:right w:val="nil"/>
            </w:tcBorders>
            <w:shd w:val="clear" w:color="auto" w:fill="auto"/>
            <w:noWrap/>
            <w:hideMark/>
          </w:tcPr>
          <w:p w14:paraId="0C76B6C7"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c>
          <w:tcPr>
            <w:tcW w:w="1406" w:type="dxa"/>
            <w:tcBorders>
              <w:top w:val="nil"/>
              <w:left w:val="nil"/>
              <w:bottom w:val="nil"/>
              <w:right w:val="nil"/>
            </w:tcBorders>
          </w:tcPr>
          <w:p w14:paraId="414E9562"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Yes</w:t>
            </w:r>
          </w:p>
        </w:tc>
      </w:tr>
      <w:tr w:rsidR="00D062D6" w:rsidRPr="00CC0FCE" w14:paraId="2798DDE7" w14:textId="77777777" w:rsidTr="001578CB">
        <w:trPr>
          <w:trHeight w:val="83"/>
        </w:trPr>
        <w:tc>
          <w:tcPr>
            <w:tcW w:w="3402" w:type="dxa"/>
            <w:tcBorders>
              <w:top w:val="nil"/>
              <w:left w:val="nil"/>
              <w:right w:val="nil"/>
            </w:tcBorders>
            <w:shd w:val="clear" w:color="auto" w:fill="auto"/>
            <w:noWrap/>
            <w:vAlign w:val="bottom"/>
            <w:hideMark/>
          </w:tcPr>
          <w:p w14:paraId="7FA7288A" w14:textId="77777777" w:rsidR="00D062D6" w:rsidRPr="00CC0FCE" w:rsidRDefault="00D062D6" w:rsidP="00D062D6">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Observations</w:t>
            </w:r>
          </w:p>
        </w:tc>
        <w:tc>
          <w:tcPr>
            <w:tcW w:w="1418" w:type="dxa"/>
            <w:tcBorders>
              <w:top w:val="nil"/>
              <w:left w:val="nil"/>
              <w:right w:val="nil"/>
            </w:tcBorders>
            <w:shd w:val="clear" w:color="auto" w:fill="auto"/>
            <w:noWrap/>
            <w:hideMark/>
          </w:tcPr>
          <w:p w14:paraId="4ACB2F97"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color w:val="000000"/>
                <w:sz w:val="20"/>
                <w:szCs w:val="20"/>
                <w:lang w:eastAsia="en-NZ"/>
              </w:rPr>
              <w:t>11,764</w:t>
            </w:r>
          </w:p>
        </w:tc>
        <w:tc>
          <w:tcPr>
            <w:tcW w:w="1559" w:type="dxa"/>
            <w:tcBorders>
              <w:top w:val="nil"/>
              <w:left w:val="nil"/>
              <w:right w:val="nil"/>
            </w:tcBorders>
            <w:shd w:val="clear" w:color="auto" w:fill="auto"/>
            <w:noWrap/>
            <w:hideMark/>
          </w:tcPr>
          <w:p w14:paraId="6FED9EA0"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color w:val="000000"/>
                <w:sz w:val="20"/>
                <w:szCs w:val="20"/>
                <w:lang w:eastAsia="en-NZ"/>
              </w:rPr>
              <w:t>11,764</w:t>
            </w:r>
          </w:p>
        </w:tc>
        <w:tc>
          <w:tcPr>
            <w:tcW w:w="1276" w:type="dxa"/>
            <w:tcBorders>
              <w:top w:val="nil"/>
              <w:left w:val="nil"/>
              <w:right w:val="nil"/>
            </w:tcBorders>
            <w:shd w:val="clear" w:color="auto" w:fill="auto"/>
            <w:noWrap/>
            <w:hideMark/>
          </w:tcPr>
          <w:p w14:paraId="09EB5A1D"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color w:val="000000"/>
                <w:sz w:val="20"/>
                <w:szCs w:val="20"/>
                <w:lang w:eastAsia="en-NZ"/>
              </w:rPr>
              <w:t>11,764</w:t>
            </w:r>
          </w:p>
        </w:tc>
        <w:tc>
          <w:tcPr>
            <w:tcW w:w="1406" w:type="dxa"/>
            <w:tcBorders>
              <w:top w:val="nil"/>
              <w:left w:val="nil"/>
              <w:right w:val="nil"/>
            </w:tcBorders>
          </w:tcPr>
          <w:p w14:paraId="24ECB2EC" w14:textId="77777777"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color w:val="000000"/>
                <w:sz w:val="20"/>
                <w:szCs w:val="20"/>
                <w:lang w:eastAsia="en-NZ"/>
              </w:rPr>
              <w:t>11,764</w:t>
            </w:r>
          </w:p>
        </w:tc>
      </w:tr>
      <w:tr w:rsidR="00D062D6" w:rsidRPr="00CC0FCE" w14:paraId="076EB81D" w14:textId="77777777" w:rsidTr="001578CB">
        <w:trPr>
          <w:trHeight w:val="83"/>
        </w:trPr>
        <w:tc>
          <w:tcPr>
            <w:tcW w:w="3402" w:type="dxa"/>
            <w:tcBorders>
              <w:top w:val="nil"/>
              <w:left w:val="nil"/>
              <w:bottom w:val="single" w:sz="4" w:space="0" w:color="auto"/>
              <w:right w:val="nil"/>
            </w:tcBorders>
            <w:shd w:val="clear" w:color="auto" w:fill="auto"/>
            <w:noWrap/>
            <w:vAlign w:val="bottom"/>
            <w:hideMark/>
          </w:tcPr>
          <w:p w14:paraId="2E85BC6A" w14:textId="40FCC0E3" w:rsidR="00D062D6" w:rsidRPr="00CC0FCE" w:rsidRDefault="00D062D6" w:rsidP="00D062D6">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Adj</w:t>
            </w:r>
            <w:r w:rsidR="002746A4">
              <w:rPr>
                <w:rFonts w:ascii="Times New Roman" w:eastAsia="Times New Roman" w:hAnsi="Times New Roman" w:cs="Times New Roman"/>
                <w:sz w:val="20"/>
                <w:szCs w:val="20"/>
                <w:lang w:eastAsia="en-NZ"/>
              </w:rPr>
              <w:t>.</w:t>
            </w:r>
            <w:r w:rsidRPr="00CC0FCE">
              <w:rPr>
                <w:rFonts w:ascii="Times New Roman" w:eastAsia="Times New Roman" w:hAnsi="Times New Roman" w:cs="Times New Roman"/>
                <w:sz w:val="20"/>
                <w:szCs w:val="20"/>
                <w:lang w:eastAsia="en-NZ"/>
              </w:rPr>
              <w:t xml:space="preserve"> R</w:t>
            </w:r>
            <w:r w:rsidRPr="00CC0FCE">
              <w:rPr>
                <w:rFonts w:ascii="Times New Roman" w:eastAsia="Times New Roman" w:hAnsi="Times New Roman" w:cs="Times New Roman"/>
                <w:sz w:val="20"/>
                <w:szCs w:val="20"/>
                <w:vertAlign w:val="superscript"/>
                <w:lang w:eastAsia="en-NZ"/>
              </w:rPr>
              <w:t>2</w:t>
            </w:r>
          </w:p>
        </w:tc>
        <w:tc>
          <w:tcPr>
            <w:tcW w:w="1418" w:type="dxa"/>
            <w:tcBorders>
              <w:top w:val="nil"/>
              <w:left w:val="nil"/>
              <w:bottom w:val="single" w:sz="4" w:space="0" w:color="auto"/>
              <w:right w:val="nil"/>
            </w:tcBorders>
            <w:shd w:val="clear" w:color="auto" w:fill="auto"/>
            <w:noWrap/>
            <w:vAlign w:val="bottom"/>
            <w:hideMark/>
          </w:tcPr>
          <w:p w14:paraId="5B99EBA6" w14:textId="5DE5DEA3"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0.27</w:t>
            </w:r>
            <w:r w:rsidR="00952F3A">
              <w:rPr>
                <w:rFonts w:ascii="Times New Roman" w:eastAsia="Times New Roman" w:hAnsi="Times New Roman" w:cs="Times New Roman"/>
                <w:sz w:val="20"/>
                <w:szCs w:val="20"/>
                <w:lang w:eastAsia="en-NZ"/>
              </w:rPr>
              <w:t>18</w:t>
            </w:r>
          </w:p>
        </w:tc>
        <w:tc>
          <w:tcPr>
            <w:tcW w:w="1559" w:type="dxa"/>
            <w:tcBorders>
              <w:top w:val="nil"/>
              <w:left w:val="nil"/>
              <w:bottom w:val="single" w:sz="4" w:space="0" w:color="auto"/>
              <w:right w:val="nil"/>
            </w:tcBorders>
            <w:shd w:val="clear" w:color="auto" w:fill="auto"/>
            <w:noWrap/>
            <w:vAlign w:val="bottom"/>
            <w:hideMark/>
          </w:tcPr>
          <w:p w14:paraId="3AF22189" w14:textId="12878C9D"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0.27</w:t>
            </w:r>
            <w:r w:rsidR="00952F3A">
              <w:rPr>
                <w:rFonts w:ascii="Times New Roman" w:eastAsia="Times New Roman" w:hAnsi="Times New Roman" w:cs="Times New Roman"/>
                <w:sz w:val="20"/>
                <w:szCs w:val="20"/>
                <w:lang w:eastAsia="en-NZ"/>
              </w:rPr>
              <w:t>02</w:t>
            </w:r>
          </w:p>
        </w:tc>
        <w:tc>
          <w:tcPr>
            <w:tcW w:w="1276" w:type="dxa"/>
            <w:tcBorders>
              <w:top w:val="nil"/>
              <w:left w:val="nil"/>
              <w:bottom w:val="single" w:sz="4" w:space="0" w:color="auto"/>
              <w:right w:val="nil"/>
            </w:tcBorders>
            <w:shd w:val="clear" w:color="auto" w:fill="auto"/>
            <w:noWrap/>
            <w:vAlign w:val="bottom"/>
            <w:hideMark/>
          </w:tcPr>
          <w:p w14:paraId="75FD63A0" w14:textId="0E43EFEF"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0.2</w:t>
            </w:r>
            <w:r w:rsidR="00AC7EF4">
              <w:rPr>
                <w:rFonts w:ascii="Times New Roman" w:eastAsia="Times New Roman" w:hAnsi="Times New Roman" w:cs="Times New Roman"/>
                <w:sz w:val="20"/>
                <w:szCs w:val="20"/>
                <w:lang w:eastAsia="en-NZ"/>
              </w:rPr>
              <w:t>822</w:t>
            </w:r>
          </w:p>
        </w:tc>
        <w:tc>
          <w:tcPr>
            <w:tcW w:w="1406" w:type="dxa"/>
            <w:tcBorders>
              <w:top w:val="nil"/>
              <w:left w:val="nil"/>
              <w:bottom w:val="single" w:sz="4" w:space="0" w:color="auto"/>
              <w:right w:val="nil"/>
            </w:tcBorders>
          </w:tcPr>
          <w:p w14:paraId="14E3EFAF" w14:textId="704EE350" w:rsidR="00D062D6" w:rsidRPr="00CC0FCE" w:rsidRDefault="00D062D6" w:rsidP="00D062D6">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0.27</w:t>
            </w:r>
            <w:r w:rsidR="00AC7EF4">
              <w:rPr>
                <w:rFonts w:ascii="Times New Roman" w:eastAsia="Times New Roman" w:hAnsi="Times New Roman" w:cs="Times New Roman"/>
                <w:sz w:val="20"/>
                <w:szCs w:val="20"/>
                <w:lang w:eastAsia="en-NZ"/>
              </w:rPr>
              <w:t>09</w:t>
            </w:r>
          </w:p>
        </w:tc>
      </w:tr>
    </w:tbl>
    <w:p w14:paraId="402442F9" w14:textId="122EFC87" w:rsidR="00B16EB1" w:rsidRDefault="00336EF5" w:rsidP="005E3506">
      <w:pPr>
        <w:spacing w:after="0" w:line="240" w:lineRule="auto"/>
        <w:jc w:val="both"/>
        <w:rPr>
          <w:rFonts w:ascii="Times New Roman" w:hAnsi="Times New Roman" w:cs="Times New Roman"/>
          <w:sz w:val="20"/>
          <w:szCs w:val="20"/>
        </w:rPr>
        <w:sectPr w:rsidR="00B16EB1" w:rsidSect="00A5204B">
          <w:pgSz w:w="11906" w:h="16838"/>
          <w:pgMar w:top="1440" w:right="1440" w:bottom="1440" w:left="1440" w:header="708" w:footer="708" w:gutter="0"/>
          <w:cols w:space="708"/>
          <w:docGrid w:linePitch="360"/>
        </w:sectPr>
      </w:pPr>
      <w:r>
        <w:rPr>
          <w:rFonts w:ascii="Times New Roman" w:hAnsi="Times New Roman" w:cs="Times New Roman"/>
          <w:sz w:val="20"/>
          <w:szCs w:val="20"/>
        </w:rPr>
        <w:t xml:space="preserve">Note: </w:t>
      </w:r>
      <w:r w:rsidRPr="00CC0FCE">
        <w:rPr>
          <w:rFonts w:ascii="Times New Roman" w:hAnsi="Times New Roman" w:cs="Times New Roman"/>
          <w:sz w:val="20"/>
          <w:szCs w:val="20"/>
        </w:rPr>
        <w:t xml:space="preserve">This table reports results </w:t>
      </w:r>
      <w:r w:rsidR="00A336E5">
        <w:rPr>
          <w:rFonts w:ascii="Times New Roman" w:hAnsi="Times New Roman" w:cs="Times New Roman"/>
          <w:sz w:val="20"/>
          <w:szCs w:val="20"/>
        </w:rPr>
        <w:t xml:space="preserve">for earnings management, legal regime, and post-SEO performance </w:t>
      </w:r>
      <w:r w:rsidR="006B6457">
        <w:rPr>
          <w:rFonts w:ascii="Times New Roman" w:hAnsi="Times New Roman" w:cs="Times New Roman"/>
          <w:sz w:val="20"/>
          <w:szCs w:val="20"/>
        </w:rPr>
        <w:t xml:space="preserve">an alternative measure of </w:t>
      </w:r>
      <w:r w:rsidR="006B6457" w:rsidRPr="001578CB">
        <w:rPr>
          <w:rFonts w:ascii="Times New Roman" w:hAnsi="Times New Roman" w:cs="Times New Roman"/>
          <w:i/>
          <w:iCs/>
          <w:sz w:val="20"/>
          <w:szCs w:val="20"/>
        </w:rPr>
        <w:t>AEM</w:t>
      </w:r>
      <w:r w:rsidR="006B6457">
        <w:rPr>
          <w:rFonts w:ascii="Times New Roman" w:hAnsi="Times New Roman" w:cs="Times New Roman"/>
          <w:sz w:val="20"/>
          <w:szCs w:val="20"/>
        </w:rPr>
        <w:t xml:space="preserve"> and </w:t>
      </w:r>
      <w:r w:rsidR="006B6457" w:rsidRPr="001578CB">
        <w:rPr>
          <w:rFonts w:ascii="Times New Roman" w:hAnsi="Times New Roman" w:cs="Times New Roman"/>
          <w:i/>
          <w:iCs/>
          <w:sz w:val="20"/>
          <w:szCs w:val="20"/>
        </w:rPr>
        <w:t>RAM</w:t>
      </w:r>
      <w:r w:rsidR="006B6457">
        <w:rPr>
          <w:rFonts w:ascii="Times New Roman" w:hAnsi="Times New Roman" w:cs="Times New Roman"/>
          <w:sz w:val="20"/>
          <w:szCs w:val="20"/>
        </w:rPr>
        <w:t xml:space="preserve"> using the raw values</w:t>
      </w:r>
      <w:r w:rsidRPr="00CC0FCE">
        <w:rPr>
          <w:rFonts w:ascii="Times New Roman" w:hAnsi="Times New Roman" w:cs="Times New Roman"/>
          <w:sz w:val="20"/>
          <w:szCs w:val="20"/>
        </w:rPr>
        <w:t>.</w:t>
      </w:r>
      <w:r>
        <w:rPr>
          <w:rFonts w:ascii="Times New Roman" w:hAnsi="Times New Roman" w:cs="Times New Roman"/>
          <w:sz w:val="20"/>
          <w:szCs w:val="20"/>
        </w:rPr>
        <w:t xml:space="preserve"> </w:t>
      </w:r>
      <w:r w:rsidR="005A2588">
        <w:rPr>
          <w:rFonts w:ascii="Times New Roman" w:hAnsi="Times New Roman" w:cs="Times New Roman"/>
          <w:sz w:val="20"/>
          <w:szCs w:val="20"/>
        </w:rPr>
        <w:t>Columns (1) and (2) [(3) and (4)] present results of estimation of Equations (1) and (2) [(3) and (4)], respectively</w:t>
      </w:r>
      <w:r w:rsidR="00504DA4">
        <w:rPr>
          <w:rFonts w:ascii="Times New Roman" w:hAnsi="Times New Roman" w:cs="Times New Roman"/>
          <w:sz w:val="20"/>
          <w:szCs w:val="20"/>
        </w:rPr>
        <w:t>.</w:t>
      </w:r>
      <w:r>
        <w:rPr>
          <w:rFonts w:ascii="Times New Roman" w:hAnsi="Times New Roman" w:cs="Times New Roman"/>
          <w:sz w:val="20"/>
          <w:szCs w:val="20"/>
        </w:rPr>
        <w:t xml:space="preserve"> </w:t>
      </w:r>
      <w:r w:rsidRPr="00CC0FCE">
        <w:rPr>
          <w:rFonts w:ascii="Times New Roman" w:hAnsi="Times New Roman" w:cs="Times New Roman"/>
          <w:sz w:val="20"/>
          <w:szCs w:val="20"/>
        </w:rPr>
        <w:t xml:space="preserve">Robust </w:t>
      </w:r>
      <w:r w:rsidRPr="001578CB">
        <w:rPr>
          <w:rFonts w:ascii="Times New Roman" w:hAnsi="Times New Roman" w:cs="Times New Roman"/>
          <w:i/>
          <w:iCs/>
          <w:sz w:val="20"/>
          <w:szCs w:val="20"/>
        </w:rPr>
        <w:t>t</w:t>
      </w:r>
      <w:r w:rsidRPr="00CC0FCE">
        <w:rPr>
          <w:rFonts w:ascii="Times New Roman" w:hAnsi="Times New Roman" w:cs="Times New Roman"/>
          <w:sz w:val="20"/>
          <w:szCs w:val="20"/>
        </w:rPr>
        <w:t>-statistics are in parenthesis. ***, **, * indicate significance at the 1%, 5% and 10% levels, respectively. All variables are defined in Appendix.</w:t>
      </w:r>
      <w:r w:rsidR="00504B61">
        <w:rPr>
          <w:rFonts w:ascii="Times New Roman" w:hAnsi="Times New Roman" w:cs="Times New Roman"/>
          <w:sz w:val="20"/>
          <w:szCs w:val="20"/>
        </w:rPr>
        <w:br w:type="page"/>
      </w:r>
    </w:p>
    <w:tbl>
      <w:tblPr>
        <w:tblW w:w="13955" w:type="dxa"/>
        <w:tblLook w:val="04A0" w:firstRow="1" w:lastRow="0" w:firstColumn="1" w:lastColumn="0" w:noHBand="0" w:noVBand="1"/>
      </w:tblPr>
      <w:tblGrid>
        <w:gridCol w:w="4170"/>
        <w:gridCol w:w="1439"/>
        <w:gridCol w:w="1929"/>
        <w:gridCol w:w="1272"/>
        <w:gridCol w:w="1864"/>
        <w:gridCol w:w="1375"/>
        <w:gridCol w:w="1906"/>
      </w:tblGrid>
      <w:tr w:rsidR="00365E19" w:rsidRPr="00365E19" w14:paraId="3BF9B60D" w14:textId="77777777" w:rsidTr="001578CB">
        <w:trPr>
          <w:trHeight w:val="109"/>
        </w:trPr>
        <w:tc>
          <w:tcPr>
            <w:tcW w:w="13955" w:type="dxa"/>
            <w:gridSpan w:val="7"/>
            <w:tcBorders>
              <w:left w:val="nil"/>
              <w:bottom w:val="single" w:sz="4" w:space="0" w:color="auto"/>
              <w:right w:val="nil"/>
            </w:tcBorders>
          </w:tcPr>
          <w:p w14:paraId="7EF2998D" w14:textId="5BB56E81" w:rsidR="004C0D52" w:rsidRPr="00365E19" w:rsidRDefault="0042717E" w:rsidP="001578CB">
            <w:pPr>
              <w:spacing w:after="0" w:line="240" w:lineRule="auto"/>
              <w:rPr>
                <w:rFonts w:ascii="Times New Roman" w:eastAsia="Times New Roman" w:hAnsi="Times New Roman" w:cs="Times New Roman"/>
                <w:sz w:val="20"/>
                <w:szCs w:val="20"/>
                <w:lang w:eastAsia="en-NZ"/>
              </w:rPr>
            </w:pPr>
            <w:r w:rsidRPr="002A6AF0">
              <w:rPr>
                <w:rFonts w:ascii="Times New Roman" w:eastAsia="Times New Roman" w:hAnsi="Times New Roman" w:cs="Times New Roman"/>
                <w:color w:val="000000"/>
                <w:sz w:val="20"/>
                <w:szCs w:val="20"/>
                <w:lang w:eastAsia="en-NZ"/>
              </w:rPr>
              <w:lastRenderedPageBreak/>
              <w:t xml:space="preserve">TABLE </w:t>
            </w:r>
            <w:r w:rsidR="000F38AB">
              <w:rPr>
                <w:rFonts w:ascii="Times New Roman" w:eastAsia="Times New Roman" w:hAnsi="Times New Roman" w:cs="Times New Roman"/>
                <w:color w:val="000000"/>
                <w:sz w:val="20"/>
                <w:szCs w:val="20"/>
                <w:lang w:eastAsia="en-NZ"/>
              </w:rPr>
              <w:t>9</w:t>
            </w:r>
            <w:r w:rsidRPr="002A6AF0">
              <w:rPr>
                <w:rFonts w:ascii="Times New Roman" w:eastAsia="Times New Roman" w:hAnsi="Times New Roman" w:cs="Times New Roman"/>
                <w:color w:val="000000"/>
                <w:sz w:val="20"/>
                <w:szCs w:val="20"/>
                <w:lang w:eastAsia="en-NZ"/>
              </w:rPr>
              <w:t>:</w:t>
            </w:r>
            <w:r>
              <w:rPr>
                <w:rFonts w:ascii="Times New Roman" w:eastAsia="Times New Roman" w:hAnsi="Times New Roman" w:cs="Times New Roman"/>
                <w:color w:val="000000"/>
                <w:sz w:val="20"/>
                <w:szCs w:val="20"/>
                <w:lang w:eastAsia="en-NZ"/>
              </w:rPr>
              <w:t xml:space="preserve"> </w:t>
            </w:r>
            <w:r w:rsidR="004C0D52" w:rsidRPr="001578CB">
              <w:rPr>
                <w:rFonts w:ascii="Times New Roman" w:eastAsia="Times New Roman" w:hAnsi="Times New Roman" w:cs="Times New Roman"/>
                <w:sz w:val="20"/>
                <w:szCs w:val="20"/>
                <w:lang w:eastAsia="en-NZ"/>
              </w:rPr>
              <w:t xml:space="preserve">Alternative measures </w:t>
            </w:r>
            <w:r w:rsidR="0066337D">
              <w:rPr>
                <w:rFonts w:ascii="Times New Roman" w:eastAsia="Times New Roman" w:hAnsi="Times New Roman" w:cs="Times New Roman"/>
                <w:sz w:val="20"/>
                <w:szCs w:val="20"/>
                <w:lang w:eastAsia="en-NZ"/>
              </w:rPr>
              <w:t>for the</w:t>
            </w:r>
            <w:r w:rsidR="004C0D52" w:rsidRPr="001578CB">
              <w:rPr>
                <w:rFonts w:ascii="Times New Roman" w:eastAsia="Times New Roman" w:hAnsi="Times New Roman" w:cs="Times New Roman"/>
                <w:sz w:val="20"/>
                <w:szCs w:val="20"/>
                <w:lang w:eastAsia="en-NZ"/>
              </w:rPr>
              <w:t xml:space="preserve"> legal regime</w:t>
            </w:r>
          </w:p>
        </w:tc>
      </w:tr>
      <w:tr w:rsidR="006B0D98" w:rsidRPr="00365E19" w14:paraId="5F52F414" w14:textId="77777777" w:rsidTr="001578CB">
        <w:trPr>
          <w:trHeight w:val="136"/>
        </w:trPr>
        <w:tc>
          <w:tcPr>
            <w:tcW w:w="4170" w:type="dxa"/>
            <w:tcBorders>
              <w:top w:val="single" w:sz="4" w:space="0" w:color="auto"/>
              <w:left w:val="nil"/>
              <w:right w:val="nil"/>
            </w:tcBorders>
            <w:shd w:val="clear" w:color="auto" w:fill="auto"/>
            <w:noWrap/>
            <w:vAlign w:val="bottom"/>
          </w:tcPr>
          <w:p w14:paraId="706717E6" w14:textId="77777777" w:rsidR="004C0D52" w:rsidRPr="00365E19" w:rsidRDefault="004C0D52" w:rsidP="000D5A47">
            <w:pPr>
              <w:spacing w:after="0" w:line="240" w:lineRule="auto"/>
              <w:rPr>
                <w:rFonts w:ascii="Times New Roman" w:eastAsia="Times New Roman" w:hAnsi="Times New Roman" w:cs="Times New Roman"/>
                <w:sz w:val="20"/>
                <w:szCs w:val="20"/>
                <w:lang w:eastAsia="en-NZ"/>
              </w:rPr>
            </w:pPr>
          </w:p>
        </w:tc>
        <w:tc>
          <w:tcPr>
            <w:tcW w:w="1439" w:type="dxa"/>
            <w:tcBorders>
              <w:left w:val="nil"/>
              <w:bottom w:val="single" w:sz="4" w:space="0" w:color="auto"/>
              <w:right w:val="nil"/>
            </w:tcBorders>
            <w:shd w:val="clear" w:color="auto" w:fill="auto"/>
            <w:noWrap/>
            <w:vAlign w:val="bottom"/>
          </w:tcPr>
          <w:p w14:paraId="3E0CCE56" w14:textId="77777777" w:rsidR="004C0D52" w:rsidRPr="00365E19" w:rsidRDefault="004C0D52"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(1)</w:t>
            </w:r>
          </w:p>
        </w:tc>
        <w:tc>
          <w:tcPr>
            <w:tcW w:w="1929" w:type="dxa"/>
            <w:tcBorders>
              <w:left w:val="nil"/>
              <w:bottom w:val="single" w:sz="4" w:space="0" w:color="auto"/>
              <w:right w:val="single" w:sz="4" w:space="0" w:color="auto"/>
            </w:tcBorders>
            <w:shd w:val="clear" w:color="auto" w:fill="auto"/>
            <w:vAlign w:val="bottom"/>
          </w:tcPr>
          <w:p w14:paraId="0C5495C8" w14:textId="77777777" w:rsidR="004C0D52" w:rsidRPr="00365E19" w:rsidRDefault="004C0D52"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(2)</w:t>
            </w:r>
          </w:p>
        </w:tc>
        <w:tc>
          <w:tcPr>
            <w:tcW w:w="1272" w:type="dxa"/>
            <w:tcBorders>
              <w:left w:val="single" w:sz="4" w:space="0" w:color="auto"/>
              <w:bottom w:val="single" w:sz="4" w:space="0" w:color="auto"/>
              <w:right w:val="nil"/>
            </w:tcBorders>
          </w:tcPr>
          <w:p w14:paraId="2402D9A6" w14:textId="77777777" w:rsidR="004C0D52" w:rsidRPr="00365E19" w:rsidRDefault="004C0D52"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(3)</w:t>
            </w:r>
          </w:p>
        </w:tc>
        <w:tc>
          <w:tcPr>
            <w:tcW w:w="1864" w:type="dxa"/>
            <w:tcBorders>
              <w:left w:val="nil"/>
              <w:bottom w:val="single" w:sz="4" w:space="0" w:color="auto"/>
              <w:right w:val="single" w:sz="4" w:space="0" w:color="auto"/>
            </w:tcBorders>
            <w:shd w:val="clear" w:color="auto" w:fill="auto"/>
            <w:noWrap/>
            <w:vAlign w:val="bottom"/>
          </w:tcPr>
          <w:p w14:paraId="1C646D6E" w14:textId="77777777" w:rsidR="004C0D52" w:rsidRPr="00365E19" w:rsidRDefault="004C0D52"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(4)</w:t>
            </w:r>
          </w:p>
        </w:tc>
        <w:tc>
          <w:tcPr>
            <w:tcW w:w="1375" w:type="dxa"/>
            <w:tcBorders>
              <w:left w:val="single" w:sz="4" w:space="0" w:color="auto"/>
              <w:bottom w:val="single" w:sz="4" w:space="0" w:color="auto"/>
              <w:right w:val="nil"/>
            </w:tcBorders>
          </w:tcPr>
          <w:p w14:paraId="53C6CA4F" w14:textId="77777777" w:rsidR="004C0D52" w:rsidRPr="00365E19" w:rsidRDefault="004C0D52"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(5)</w:t>
            </w:r>
          </w:p>
        </w:tc>
        <w:tc>
          <w:tcPr>
            <w:tcW w:w="1906" w:type="dxa"/>
            <w:tcBorders>
              <w:left w:val="nil"/>
              <w:bottom w:val="single" w:sz="4" w:space="0" w:color="auto"/>
              <w:right w:val="nil"/>
            </w:tcBorders>
          </w:tcPr>
          <w:p w14:paraId="0C4C1F21" w14:textId="77777777" w:rsidR="004C0D52" w:rsidRPr="00365E19" w:rsidRDefault="004C0D52"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(6)</w:t>
            </w:r>
          </w:p>
        </w:tc>
      </w:tr>
      <w:tr w:rsidR="00EB54D1" w:rsidRPr="00365E19" w14:paraId="3336257A" w14:textId="77777777" w:rsidTr="001578CB">
        <w:trPr>
          <w:trHeight w:val="136"/>
        </w:trPr>
        <w:tc>
          <w:tcPr>
            <w:tcW w:w="4170" w:type="dxa"/>
            <w:tcBorders>
              <w:left w:val="nil"/>
              <w:bottom w:val="nil"/>
              <w:right w:val="nil"/>
            </w:tcBorders>
            <w:shd w:val="clear" w:color="auto" w:fill="auto"/>
            <w:noWrap/>
            <w:vAlign w:val="bottom"/>
          </w:tcPr>
          <w:p w14:paraId="2B6E453F" w14:textId="77777777" w:rsidR="001F084C" w:rsidRPr="00365E19" w:rsidRDefault="001F084C" w:rsidP="000D5A47">
            <w:pPr>
              <w:spacing w:after="0" w:line="240" w:lineRule="auto"/>
              <w:rPr>
                <w:rFonts w:ascii="Times New Roman" w:eastAsia="Times New Roman" w:hAnsi="Times New Roman" w:cs="Times New Roman"/>
                <w:sz w:val="20"/>
                <w:szCs w:val="20"/>
                <w:lang w:eastAsia="en-NZ"/>
              </w:rPr>
            </w:pPr>
          </w:p>
        </w:tc>
        <w:tc>
          <w:tcPr>
            <w:tcW w:w="3368" w:type="dxa"/>
            <w:gridSpan w:val="2"/>
            <w:tcBorders>
              <w:top w:val="single" w:sz="4" w:space="0" w:color="auto"/>
              <w:left w:val="nil"/>
              <w:bottom w:val="single" w:sz="4" w:space="0" w:color="auto"/>
              <w:right w:val="single" w:sz="4" w:space="0" w:color="auto"/>
            </w:tcBorders>
            <w:shd w:val="clear" w:color="auto" w:fill="auto"/>
            <w:noWrap/>
            <w:vAlign w:val="bottom"/>
          </w:tcPr>
          <w:p w14:paraId="3C4D3C91" w14:textId="26F1CBBB" w:rsidR="001F084C" w:rsidRPr="00365E19" w:rsidRDefault="001F084C"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LAW=Common</w:t>
            </w:r>
            <w:r w:rsidR="007B140A">
              <w:rPr>
                <w:rFonts w:ascii="Times New Roman" w:eastAsia="Times New Roman" w:hAnsi="Times New Roman" w:cs="Times New Roman"/>
                <w:sz w:val="20"/>
                <w:szCs w:val="20"/>
                <w:lang w:eastAsia="en-NZ"/>
              </w:rPr>
              <w:t>-</w:t>
            </w:r>
            <w:r w:rsidRPr="00365E19">
              <w:rPr>
                <w:rFonts w:ascii="Times New Roman" w:eastAsia="Times New Roman" w:hAnsi="Times New Roman" w:cs="Times New Roman"/>
                <w:sz w:val="20"/>
                <w:szCs w:val="20"/>
                <w:lang w:eastAsia="en-NZ"/>
              </w:rPr>
              <w:t>law vs Code</w:t>
            </w:r>
            <w:r w:rsidR="007B140A">
              <w:rPr>
                <w:rFonts w:ascii="Times New Roman" w:eastAsia="Times New Roman" w:hAnsi="Times New Roman" w:cs="Times New Roman"/>
                <w:sz w:val="20"/>
                <w:szCs w:val="20"/>
                <w:lang w:eastAsia="en-NZ"/>
              </w:rPr>
              <w:t>-</w:t>
            </w:r>
            <w:r w:rsidRPr="00365E19">
              <w:rPr>
                <w:rFonts w:ascii="Times New Roman" w:eastAsia="Times New Roman" w:hAnsi="Times New Roman" w:cs="Times New Roman"/>
                <w:sz w:val="20"/>
                <w:szCs w:val="20"/>
                <w:lang w:eastAsia="en-NZ"/>
              </w:rPr>
              <w:t>law</w:t>
            </w:r>
          </w:p>
        </w:tc>
        <w:tc>
          <w:tcPr>
            <w:tcW w:w="3136" w:type="dxa"/>
            <w:gridSpan w:val="2"/>
            <w:tcBorders>
              <w:top w:val="single" w:sz="4" w:space="0" w:color="auto"/>
              <w:left w:val="single" w:sz="4" w:space="0" w:color="auto"/>
              <w:bottom w:val="single" w:sz="4" w:space="0" w:color="auto"/>
              <w:right w:val="single" w:sz="4" w:space="0" w:color="auto"/>
            </w:tcBorders>
          </w:tcPr>
          <w:p w14:paraId="37CCB9D4" w14:textId="6B141458" w:rsidR="001F084C" w:rsidRPr="00365E19" w:rsidRDefault="001F084C"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LAW=Anti-director right</w:t>
            </w:r>
            <w:r w:rsidR="005F13CA">
              <w:rPr>
                <w:rFonts w:ascii="Times New Roman" w:eastAsia="Times New Roman" w:hAnsi="Times New Roman" w:cs="Times New Roman"/>
                <w:sz w:val="20"/>
                <w:szCs w:val="20"/>
                <w:lang w:eastAsia="en-NZ"/>
              </w:rPr>
              <w:t>s</w:t>
            </w:r>
          </w:p>
        </w:tc>
        <w:tc>
          <w:tcPr>
            <w:tcW w:w="3281" w:type="dxa"/>
            <w:gridSpan w:val="2"/>
            <w:tcBorders>
              <w:top w:val="single" w:sz="4" w:space="0" w:color="auto"/>
              <w:left w:val="single" w:sz="4" w:space="0" w:color="auto"/>
              <w:bottom w:val="single" w:sz="4" w:space="0" w:color="auto"/>
              <w:right w:val="nil"/>
            </w:tcBorders>
          </w:tcPr>
          <w:p w14:paraId="13A81B90" w14:textId="7616E8F9" w:rsidR="001F084C" w:rsidRPr="00365E19" w:rsidRDefault="001F084C" w:rsidP="000D5A47">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LAW=Public enforcement</w:t>
            </w:r>
          </w:p>
        </w:tc>
      </w:tr>
      <w:tr w:rsidR="006B0D98" w:rsidRPr="00365E19" w14:paraId="5692594C" w14:textId="77777777" w:rsidTr="001578CB">
        <w:trPr>
          <w:trHeight w:val="109"/>
        </w:trPr>
        <w:tc>
          <w:tcPr>
            <w:tcW w:w="4170" w:type="dxa"/>
            <w:tcBorders>
              <w:left w:val="nil"/>
              <w:bottom w:val="single" w:sz="4" w:space="0" w:color="auto"/>
              <w:right w:val="nil"/>
            </w:tcBorders>
            <w:shd w:val="clear" w:color="auto" w:fill="auto"/>
            <w:noWrap/>
            <w:vAlign w:val="bottom"/>
            <w:hideMark/>
          </w:tcPr>
          <w:p w14:paraId="0C6A7ADC" w14:textId="77777777" w:rsidR="005F1888" w:rsidRPr="00365E19" w:rsidRDefault="005F1888" w:rsidP="005F1888">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Variables</w:t>
            </w:r>
          </w:p>
        </w:tc>
        <w:tc>
          <w:tcPr>
            <w:tcW w:w="1439" w:type="dxa"/>
            <w:tcBorders>
              <w:top w:val="single" w:sz="4" w:space="0" w:color="auto"/>
              <w:left w:val="nil"/>
              <w:bottom w:val="single" w:sz="4" w:space="0" w:color="auto"/>
              <w:right w:val="nil"/>
            </w:tcBorders>
            <w:shd w:val="clear" w:color="auto" w:fill="auto"/>
            <w:noWrap/>
            <w:vAlign w:val="bottom"/>
            <w:hideMark/>
          </w:tcPr>
          <w:p w14:paraId="6BF80A5C" w14:textId="2FC369D1" w:rsidR="005F1888" w:rsidRPr="00365E19" w:rsidRDefault="005F1888" w:rsidP="005F1888">
            <w:pPr>
              <w:spacing w:after="0" w:line="240" w:lineRule="auto"/>
              <w:jc w:val="center"/>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AEM</w:t>
            </w:r>
            <w:r w:rsidR="00832363">
              <w:rPr>
                <w:rFonts w:ascii="Times New Roman" w:eastAsia="Times New Roman" w:hAnsi="Times New Roman" w:cs="Times New Roman"/>
                <w:sz w:val="20"/>
                <w:szCs w:val="20"/>
                <w:lang w:eastAsia="en-NZ"/>
              </w:rPr>
              <w:t>&amp;</w:t>
            </w:r>
            <w:r w:rsidRPr="001578CB">
              <w:rPr>
                <w:rFonts w:ascii="Times New Roman" w:eastAsia="Times New Roman" w:hAnsi="Times New Roman" w:cs="Times New Roman"/>
                <w:sz w:val="20"/>
                <w:szCs w:val="20"/>
                <w:lang w:eastAsia="en-NZ"/>
              </w:rPr>
              <w:t>RAM</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25B24D5B" w14:textId="49A96789" w:rsidR="005F1888" w:rsidRPr="00365E19" w:rsidRDefault="005F1888" w:rsidP="005F1888">
            <w:pPr>
              <w:spacing w:after="0" w:line="240" w:lineRule="auto"/>
              <w:jc w:val="center"/>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Sum (AEM</w:t>
            </w:r>
            <w:r w:rsidR="00832363">
              <w:rPr>
                <w:rFonts w:ascii="Times New Roman" w:eastAsia="Times New Roman" w:hAnsi="Times New Roman" w:cs="Times New Roman"/>
                <w:sz w:val="20"/>
                <w:szCs w:val="20"/>
                <w:lang w:eastAsia="en-NZ"/>
              </w:rPr>
              <w:t>&amp;</w:t>
            </w:r>
            <w:r w:rsidRPr="001578CB">
              <w:rPr>
                <w:rFonts w:ascii="Times New Roman" w:eastAsia="Times New Roman" w:hAnsi="Times New Roman" w:cs="Times New Roman"/>
                <w:sz w:val="20"/>
                <w:szCs w:val="20"/>
                <w:lang w:eastAsia="en-NZ"/>
              </w:rPr>
              <w:t>RAM)</w:t>
            </w:r>
          </w:p>
        </w:tc>
        <w:tc>
          <w:tcPr>
            <w:tcW w:w="1272" w:type="dxa"/>
            <w:tcBorders>
              <w:top w:val="single" w:sz="4" w:space="0" w:color="auto"/>
              <w:left w:val="single" w:sz="4" w:space="0" w:color="auto"/>
              <w:bottom w:val="single" w:sz="4" w:space="0" w:color="auto"/>
              <w:right w:val="nil"/>
            </w:tcBorders>
            <w:vAlign w:val="bottom"/>
          </w:tcPr>
          <w:p w14:paraId="444E5F1F" w14:textId="0BE9259C" w:rsidR="005F1888" w:rsidRPr="00365E19" w:rsidRDefault="005F1888" w:rsidP="005F1888">
            <w:pPr>
              <w:spacing w:after="0" w:line="240" w:lineRule="auto"/>
              <w:jc w:val="center"/>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AEM</w:t>
            </w:r>
            <w:r w:rsidR="00832363">
              <w:rPr>
                <w:rFonts w:ascii="Times New Roman" w:eastAsia="Times New Roman" w:hAnsi="Times New Roman" w:cs="Times New Roman"/>
                <w:sz w:val="20"/>
                <w:szCs w:val="20"/>
                <w:lang w:eastAsia="en-NZ"/>
              </w:rPr>
              <w:t>&amp;</w:t>
            </w:r>
            <w:r w:rsidRPr="001578CB">
              <w:rPr>
                <w:rFonts w:ascii="Times New Roman" w:eastAsia="Times New Roman" w:hAnsi="Times New Roman" w:cs="Times New Roman"/>
                <w:sz w:val="20"/>
                <w:szCs w:val="20"/>
                <w:lang w:eastAsia="en-NZ"/>
              </w:rPr>
              <w:t>RAM</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0DA3F18C" w14:textId="44D60DDC" w:rsidR="005F1888" w:rsidRPr="00365E19" w:rsidRDefault="005F1888" w:rsidP="005F1888">
            <w:pPr>
              <w:spacing w:after="0" w:line="240" w:lineRule="auto"/>
              <w:jc w:val="center"/>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Sum (AEM</w:t>
            </w:r>
            <w:r w:rsidR="00832363">
              <w:rPr>
                <w:rFonts w:ascii="Times New Roman" w:eastAsia="Times New Roman" w:hAnsi="Times New Roman" w:cs="Times New Roman"/>
                <w:sz w:val="20"/>
                <w:szCs w:val="20"/>
                <w:lang w:eastAsia="en-NZ"/>
              </w:rPr>
              <w:t>&amp;</w:t>
            </w:r>
            <w:r w:rsidRPr="001578CB">
              <w:rPr>
                <w:rFonts w:ascii="Times New Roman" w:eastAsia="Times New Roman" w:hAnsi="Times New Roman" w:cs="Times New Roman"/>
                <w:sz w:val="20"/>
                <w:szCs w:val="20"/>
                <w:lang w:eastAsia="en-NZ"/>
              </w:rPr>
              <w:t>RAM)</w:t>
            </w:r>
          </w:p>
        </w:tc>
        <w:tc>
          <w:tcPr>
            <w:tcW w:w="1375" w:type="dxa"/>
            <w:tcBorders>
              <w:top w:val="single" w:sz="4" w:space="0" w:color="auto"/>
              <w:left w:val="single" w:sz="4" w:space="0" w:color="auto"/>
              <w:bottom w:val="single" w:sz="4" w:space="0" w:color="auto"/>
              <w:right w:val="nil"/>
            </w:tcBorders>
            <w:vAlign w:val="bottom"/>
          </w:tcPr>
          <w:p w14:paraId="65762DB2" w14:textId="20C66A20" w:rsidR="005F1888" w:rsidRPr="00365E19" w:rsidRDefault="005F1888" w:rsidP="005F1888">
            <w:pPr>
              <w:spacing w:after="0" w:line="240" w:lineRule="auto"/>
              <w:jc w:val="center"/>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AEM</w:t>
            </w:r>
            <w:r w:rsidR="00832363">
              <w:rPr>
                <w:rFonts w:ascii="Times New Roman" w:eastAsia="Times New Roman" w:hAnsi="Times New Roman" w:cs="Times New Roman"/>
                <w:sz w:val="20"/>
                <w:szCs w:val="20"/>
                <w:lang w:eastAsia="en-NZ"/>
              </w:rPr>
              <w:t>&amp;</w:t>
            </w:r>
            <w:r w:rsidRPr="001578CB">
              <w:rPr>
                <w:rFonts w:ascii="Times New Roman" w:eastAsia="Times New Roman" w:hAnsi="Times New Roman" w:cs="Times New Roman"/>
                <w:sz w:val="20"/>
                <w:szCs w:val="20"/>
                <w:lang w:eastAsia="en-NZ"/>
              </w:rPr>
              <w:t>RAM</w:t>
            </w:r>
          </w:p>
        </w:tc>
        <w:tc>
          <w:tcPr>
            <w:tcW w:w="1906" w:type="dxa"/>
            <w:tcBorders>
              <w:top w:val="single" w:sz="4" w:space="0" w:color="auto"/>
              <w:left w:val="nil"/>
              <w:bottom w:val="single" w:sz="4" w:space="0" w:color="auto"/>
              <w:right w:val="nil"/>
            </w:tcBorders>
            <w:vAlign w:val="bottom"/>
          </w:tcPr>
          <w:p w14:paraId="01C3FB75" w14:textId="426114CE" w:rsidR="005F1888" w:rsidRPr="00365E19" w:rsidRDefault="005F1888" w:rsidP="005F1888">
            <w:pPr>
              <w:spacing w:after="0" w:line="240" w:lineRule="auto"/>
              <w:jc w:val="center"/>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Sum (AEM</w:t>
            </w:r>
            <w:r w:rsidR="00383375">
              <w:rPr>
                <w:rFonts w:ascii="Times New Roman" w:eastAsia="Times New Roman" w:hAnsi="Times New Roman" w:cs="Times New Roman"/>
                <w:sz w:val="20"/>
                <w:szCs w:val="20"/>
                <w:lang w:eastAsia="en-NZ"/>
              </w:rPr>
              <w:t>&amp;</w:t>
            </w:r>
            <w:r w:rsidRPr="001578CB">
              <w:rPr>
                <w:rFonts w:ascii="Times New Roman" w:eastAsia="Times New Roman" w:hAnsi="Times New Roman" w:cs="Times New Roman"/>
                <w:sz w:val="20"/>
                <w:szCs w:val="20"/>
                <w:lang w:eastAsia="en-NZ"/>
              </w:rPr>
              <w:t>RAM)</w:t>
            </w:r>
          </w:p>
        </w:tc>
      </w:tr>
      <w:tr w:rsidR="006B0D98" w:rsidRPr="00365E19" w14:paraId="2B8642C8" w14:textId="77777777" w:rsidTr="006B0D98">
        <w:trPr>
          <w:trHeight w:val="95"/>
        </w:trPr>
        <w:tc>
          <w:tcPr>
            <w:tcW w:w="4170" w:type="dxa"/>
            <w:tcBorders>
              <w:top w:val="nil"/>
              <w:left w:val="nil"/>
              <w:bottom w:val="nil"/>
              <w:right w:val="nil"/>
            </w:tcBorders>
            <w:shd w:val="clear" w:color="auto" w:fill="auto"/>
            <w:noWrap/>
            <w:vAlign w:val="bottom"/>
            <w:hideMark/>
          </w:tcPr>
          <w:p w14:paraId="47788F61" w14:textId="77777777" w:rsidR="001431E4" w:rsidRPr="00365E19" w:rsidRDefault="001431E4" w:rsidP="001431E4">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AEM</w:t>
            </w:r>
          </w:p>
        </w:tc>
        <w:tc>
          <w:tcPr>
            <w:tcW w:w="1439" w:type="dxa"/>
            <w:tcBorders>
              <w:top w:val="nil"/>
              <w:left w:val="nil"/>
              <w:bottom w:val="nil"/>
              <w:right w:val="nil"/>
            </w:tcBorders>
            <w:shd w:val="clear" w:color="auto" w:fill="auto"/>
            <w:noWrap/>
            <w:vAlign w:val="bottom"/>
          </w:tcPr>
          <w:p w14:paraId="772153C0" w14:textId="62C0F7F4" w:rsidR="001431E4" w:rsidRPr="00365E19" w:rsidRDefault="001741BB" w:rsidP="001431E4">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1431E4" w:rsidRPr="001578CB">
              <w:rPr>
                <w:rFonts w:ascii="Times New Roman" w:hAnsi="Times New Roman" w:cs="Times New Roman"/>
                <w:color w:val="000000"/>
                <w:sz w:val="20"/>
                <w:szCs w:val="20"/>
              </w:rPr>
              <w:t>0.0307*</w:t>
            </w:r>
          </w:p>
        </w:tc>
        <w:tc>
          <w:tcPr>
            <w:tcW w:w="1929" w:type="dxa"/>
            <w:tcBorders>
              <w:top w:val="nil"/>
              <w:left w:val="nil"/>
              <w:bottom w:val="nil"/>
              <w:right w:val="single" w:sz="4" w:space="0" w:color="auto"/>
            </w:tcBorders>
            <w:shd w:val="clear" w:color="auto" w:fill="auto"/>
            <w:noWrap/>
            <w:vAlign w:val="bottom"/>
          </w:tcPr>
          <w:p w14:paraId="5496F2F2" w14:textId="395A1174"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3DF3140B" w14:textId="41C1F5B6"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w:t>
            </w:r>
            <w:r w:rsidR="00A13E6E">
              <w:rPr>
                <w:rFonts w:ascii="Times New Roman" w:hAnsi="Times New Roman" w:cs="Times New Roman"/>
                <w:color w:val="000000"/>
                <w:sz w:val="20"/>
                <w:szCs w:val="20"/>
              </w:rPr>
              <w:t>364</w:t>
            </w:r>
          </w:p>
        </w:tc>
        <w:tc>
          <w:tcPr>
            <w:tcW w:w="1864" w:type="dxa"/>
            <w:tcBorders>
              <w:top w:val="nil"/>
              <w:left w:val="nil"/>
              <w:bottom w:val="nil"/>
              <w:right w:val="single" w:sz="4" w:space="0" w:color="auto"/>
            </w:tcBorders>
            <w:shd w:val="clear" w:color="auto" w:fill="auto"/>
            <w:noWrap/>
            <w:vAlign w:val="bottom"/>
          </w:tcPr>
          <w:p w14:paraId="3154B394" w14:textId="77777777"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375" w:type="dxa"/>
            <w:tcBorders>
              <w:top w:val="nil"/>
              <w:left w:val="single" w:sz="4" w:space="0" w:color="auto"/>
              <w:bottom w:val="nil"/>
              <w:right w:val="nil"/>
            </w:tcBorders>
            <w:shd w:val="clear" w:color="auto" w:fill="auto"/>
            <w:vAlign w:val="bottom"/>
          </w:tcPr>
          <w:p w14:paraId="1979F67B" w14:textId="518CAF19" w:rsidR="001431E4" w:rsidRPr="00365E19" w:rsidRDefault="004529C6" w:rsidP="001431E4">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1431E4" w:rsidRPr="001578CB">
              <w:rPr>
                <w:rFonts w:ascii="Times New Roman" w:hAnsi="Times New Roman" w:cs="Times New Roman"/>
                <w:color w:val="000000"/>
                <w:sz w:val="20"/>
                <w:szCs w:val="20"/>
              </w:rPr>
              <w:t>0.0322**</w:t>
            </w:r>
          </w:p>
        </w:tc>
        <w:tc>
          <w:tcPr>
            <w:tcW w:w="1906" w:type="dxa"/>
            <w:tcBorders>
              <w:top w:val="nil"/>
              <w:left w:val="nil"/>
              <w:bottom w:val="nil"/>
              <w:right w:val="nil"/>
            </w:tcBorders>
          </w:tcPr>
          <w:p w14:paraId="76F18B9F" w14:textId="77777777" w:rsidR="001431E4" w:rsidRPr="00365E19" w:rsidRDefault="001431E4" w:rsidP="001431E4">
            <w:pPr>
              <w:spacing w:after="0" w:line="240" w:lineRule="auto"/>
              <w:jc w:val="center"/>
              <w:rPr>
                <w:rFonts w:ascii="Times New Roman" w:hAnsi="Times New Roman" w:cs="Times New Roman"/>
                <w:sz w:val="20"/>
                <w:szCs w:val="20"/>
              </w:rPr>
            </w:pPr>
          </w:p>
        </w:tc>
      </w:tr>
      <w:tr w:rsidR="006B0D98" w:rsidRPr="00365E19" w14:paraId="2112226F" w14:textId="77777777" w:rsidTr="006B0D98">
        <w:trPr>
          <w:trHeight w:val="109"/>
        </w:trPr>
        <w:tc>
          <w:tcPr>
            <w:tcW w:w="4170" w:type="dxa"/>
            <w:tcBorders>
              <w:top w:val="nil"/>
              <w:left w:val="nil"/>
              <w:bottom w:val="nil"/>
              <w:right w:val="nil"/>
            </w:tcBorders>
            <w:shd w:val="clear" w:color="auto" w:fill="auto"/>
            <w:noWrap/>
            <w:vAlign w:val="bottom"/>
            <w:hideMark/>
          </w:tcPr>
          <w:p w14:paraId="58BCBB69" w14:textId="77777777" w:rsidR="001431E4" w:rsidRPr="00365E19" w:rsidRDefault="001431E4" w:rsidP="001578CB">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5B6E934B" w14:textId="3F72AA8D"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1.8557)</w:t>
            </w:r>
          </w:p>
        </w:tc>
        <w:tc>
          <w:tcPr>
            <w:tcW w:w="1929" w:type="dxa"/>
            <w:tcBorders>
              <w:top w:val="nil"/>
              <w:left w:val="nil"/>
              <w:bottom w:val="nil"/>
              <w:right w:val="single" w:sz="4" w:space="0" w:color="auto"/>
            </w:tcBorders>
            <w:shd w:val="clear" w:color="auto" w:fill="auto"/>
            <w:noWrap/>
            <w:vAlign w:val="bottom"/>
          </w:tcPr>
          <w:p w14:paraId="3C159085" w14:textId="7B740A10"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225603DA" w14:textId="3C1CF15C"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E1494">
              <w:rPr>
                <w:rFonts w:ascii="Times New Roman" w:hAnsi="Times New Roman" w:cs="Times New Roman"/>
                <w:color w:val="000000"/>
                <w:sz w:val="20"/>
                <w:szCs w:val="20"/>
              </w:rPr>
              <w:t>0.6514</w:t>
            </w:r>
            <w:r w:rsidRPr="001578CB">
              <w:rPr>
                <w:rFonts w:ascii="Times New Roman" w:hAnsi="Times New Roman" w:cs="Times New Roman"/>
                <w:color w:val="000000"/>
                <w:sz w:val="20"/>
                <w:szCs w:val="20"/>
              </w:rPr>
              <w:t>)</w:t>
            </w:r>
          </w:p>
        </w:tc>
        <w:tc>
          <w:tcPr>
            <w:tcW w:w="1864" w:type="dxa"/>
            <w:tcBorders>
              <w:top w:val="nil"/>
              <w:left w:val="nil"/>
              <w:bottom w:val="nil"/>
              <w:right w:val="single" w:sz="4" w:space="0" w:color="auto"/>
            </w:tcBorders>
            <w:shd w:val="clear" w:color="auto" w:fill="auto"/>
            <w:noWrap/>
            <w:vAlign w:val="bottom"/>
          </w:tcPr>
          <w:p w14:paraId="58DE8B40" w14:textId="77777777"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375" w:type="dxa"/>
            <w:tcBorders>
              <w:top w:val="nil"/>
              <w:left w:val="single" w:sz="4" w:space="0" w:color="auto"/>
              <w:bottom w:val="nil"/>
              <w:right w:val="nil"/>
            </w:tcBorders>
            <w:shd w:val="clear" w:color="auto" w:fill="auto"/>
            <w:vAlign w:val="bottom"/>
          </w:tcPr>
          <w:p w14:paraId="6C90F3E8" w14:textId="526B42F7" w:rsidR="001431E4" w:rsidRPr="00365E19" w:rsidRDefault="001431E4" w:rsidP="001431E4">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2.2632)</w:t>
            </w:r>
          </w:p>
        </w:tc>
        <w:tc>
          <w:tcPr>
            <w:tcW w:w="1906" w:type="dxa"/>
            <w:tcBorders>
              <w:top w:val="nil"/>
              <w:left w:val="nil"/>
              <w:bottom w:val="nil"/>
              <w:right w:val="nil"/>
            </w:tcBorders>
          </w:tcPr>
          <w:p w14:paraId="0FEA0D6F" w14:textId="77777777" w:rsidR="001431E4" w:rsidRPr="00365E19" w:rsidRDefault="001431E4" w:rsidP="001431E4">
            <w:pPr>
              <w:spacing w:after="0" w:line="240" w:lineRule="auto"/>
              <w:jc w:val="center"/>
              <w:rPr>
                <w:rFonts w:ascii="Times New Roman" w:hAnsi="Times New Roman" w:cs="Times New Roman"/>
                <w:sz w:val="20"/>
                <w:szCs w:val="20"/>
              </w:rPr>
            </w:pPr>
          </w:p>
        </w:tc>
      </w:tr>
      <w:tr w:rsidR="006B0D98" w:rsidRPr="00365E19" w14:paraId="5E3E1A40" w14:textId="77777777" w:rsidTr="006B0D98">
        <w:trPr>
          <w:trHeight w:val="109"/>
        </w:trPr>
        <w:tc>
          <w:tcPr>
            <w:tcW w:w="4170" w:type="dxa"/>
            <w:tcBorders>
              <w:top w:val="nil"/>
              <w:left w:val="nil"/>
              <w:bottom w:val="nil"/>
              <w:right w:val="nil"/>
            </w:tcBorders>
            <w:shd w:val="clear" w:color="auto" w:fill="auto"/>
            <w:noWrap/>
            <w:vAlign w:val="bottom"/>
            <w:hideMark/>
          </w:tcPr>
          <w:p w14:paraId="4FBFBE43" w14:textId="77777777" w:rsidR="001431E4" w:rsidRPr="00365E19" w:rsidRDefault="001431E4">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RAM</w:t>
            </w:r>
          </w:p>
        </w:tc>
        <w:tc>
          <w:tcPr>
            <w:tcW w:w="1439" w:type="dxa"/>
            <w:tcBorders>
              <w:top w:val="nil"/>
              <w:left w:val="nil"/>
              <w:bottom w:val="nil"/>
              <w:right w:val="nil"/>
            </w:tcBorders>
            <w:shd w:val="clear" w:color="auto" w:fill="auto"/>
            <w:noWrap/>
            <w:vAlign w:val="bottom"/>
          </w:tcPr>
          <w:p w14:paraId="09F2E430" w14:textId="6F946231" w:rsidR="001431E4" w:rsidRPr="00365E19" w:rsidRDefault="001741BB" w:rsidP="001431E4">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1431E4" w:rsidRPr="001578CB">
              <w:rPr>
                <w:rFonts w:ascii="Times New Roman" w:hAnsi="Times New Roman" w:cs="Times New Roman"/>
                <w:color w:val="000000"/>
                <w:sz w:val="20"/>
                <w:szCs w:val="20"/>
              </w:rPr>
              <w:t>0.0588***</w:t>
            </w:r>
          </w:p>
        </w:tc>
        <w:tc>
          <w:tcPr>
            <w:tcW w:w="1929" w:type="dxa"/>
            <w:tcBorders>
              <w:top w:val="nil"/>
              <w:left w:val="nil"/>
              <w:bottom w:val="nil"/>
              <w:right w:val="single" w:sz="4" w:space="0" w:color="auto"/>
            </w:tcBorders>
            <w:shd w:val="clear" w:color="auto" w:fill="auto"/>
            <w:noWrap/>
            <w:vAlign w:val="bottom"/>
          </w:tcPr>
          <w:p w14:paraId="4628C2BB" w14:textId="3451EBB3"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24C349BD" w14:textId="5ED603FA"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w:t>
            </w:r>
            <w:r w:rsidR="00A13E6E">
              <w:rPr>
                <w:rFonts w:ascii="Times New Roman" w:hAnsi="Times New Roman" w:cs="Times New Roman"/>
                <w:color w:val="000000"/>
                <w:sz w:val="20"/>
                <w:szCs w:val="20"/>
              </w:rPr>
              <w:t>736</w:t>
            </w:r>
          </w:p>
        </w:tc>
        <w:tc>
          <w:tcPr>
            <w:tcW w:w="1864" w:type="dxa"/>
            <w:tcBorders>
              <w:top w:val="nil"/>
              <w:left w:val="nil"/>
              <w:bottom w:val="nil"/>
              <w:right w:val="single" w:sz="4" w:space="0" w:color="auto"/>
            </w:tcBorders>
            <w:shd w:val="clear" w:color="auto" w:fill="auto"/>
            <w:noWrap/>
            <w:vAlign w:val="bottom"/>
          </w:tcPr>
          <w:p w14:paraId="72F0AE46" w14:textId="77777777"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375" w:type="dxa"/>
            <w:tcBorders>
              <w:top w:val="nil"/>
              <w:left w:val="single" w:sz="4" w:space="0" w:color="auto"/>
              <w:bottom w:val="nil"/>
              <w:right w:val="nil"/>
            </w:tcBorders>
            <w:shd w:val="clear" w:color="auto" w:fill="auto"/>
            <w:vAlign w:val="bottom"/>
          </w:tcPr>
          <w:p w14:paraId="165AB2BC" w14:textId="193C4E58" w:rsidR="001431E4" w:rsidRPr="00365E19" w:rsidRDefault="004529C6" w:rsidP="001431E4">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1431E4" w:rsidRPr="001578CB">
              <w:rPr>
                <w:rFonts w:ascii="Times New Roman" w:hAnsi="Times New Roman" w:cs="Times New Roman"/>
                <w:color w:val="000000"/>
                <w:sz w:val="20"/>
                <w:szCs w:val="20"/>
              </w:rPr>
              <w:t>0.0629***</w:t>
            </w:r>
          </w:p>
        </w:tc>
        <w:tc>
          <w:tcPr>
            <w:tcW w:w="1906" w:type="dxa"/>
            <w:tcBorders>
              <w:top w:val="nil"/>
              <w:left w:val="nil"/>
              <w:bottom w:val="nil"/>
              <w:right w:val="nil"/>
            </w:tcBorders>
          </w:tcPr>
          <w:p w14:paraId="3087A127" w14:textId="77777777" w:rsidR="001431E4" w:rsidRPr="00365E19" w:rsidRDefault="001431E4" w:rsidP="001431E4">
            <w:pPr>
              <w:spacing w:after="0" w:line="240" w:lineRule="auto"/>
              <w:jc w:val="center"/>
              <w:rPr>
                <w:rFonts w:ascii="Times New Roman" w:hAnsi="Times New Roman" w:cs="Times New Roman"/>
                <w:sz w:val="20"/>
                <w:szCs w:val="20"/>
              </w:rPr>
            </w:pPr>
          </w:p>
        </w:tc>
      </w:tr>
      <w:tr w:rsidR="006B0D98" w:rsidRPr="00365E19" w14:paraId="5243C893" w14:textId="77777777" w:rsidTr="006B0D98">
        <w:trPr>
          <w:trHeight w:val="109"/>
        </w:trPr>
        <w:tc>
          <w:tcPr>
            <w:tcW w:w="4170" w:type="dxa"/>
            <w:tcBorders>
              <w:top w:val="nil"/>
              <w:left w:val="nil"/>
              <w:bottom w:val="nil"/>
              <w:right w:val="nil"/>
            </w:tcBorders>
            <w:shd w:val="clear" w:color="auto" w:fill="auto"/>
            <w:noWrap/>
            <w:vAlign w:val="bottom"/>
            <w:hideMark/>
          </w:tcPr>
          <w:p w14:paraId="0F81F53A" w14:textId="77777777" w:rsidR="001431E4" w:rsidRPr="00365E19" w:rsidRDefault="001431E4" w:rsidP="001578CB">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07A95BBC" w14:textId="0B087FCB"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3.5065)</w:t>
            </w:r>
          </w:p>
        </w:tc>
        <w:tc>
          <w:tcPr>
            <w:tcW w:w="1929" w:type="dxa"/>
            <w:tcBorders>
              <w:top w:val="nil"/>
              <w:left w:val="nil"/>
              <w:bottom w:val="nil"/>
              <w:right w:val="single" w:sz="4" w:space="0" w:color="auto"/>
            </w:tcBorders>
            <w:shd w:val="clear" w:color="auto" w:fill="auto"/>
            <w:noWrap/>
            <w:vAlign w:val="bottom"/>
          </w:tcPr>
          <w:p w14:paraId="0730EE7A" w14:textId="4AB4B63B"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7B39741E" w14:textId="5408831F"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AE1494">
              <w:rPr>
                <w:rFonts w:ascii="Times New Roman" w:hAnsi="Times New Roman" w:cs="Times New Roman"/>
                <w:color w:val="000000"/>
                <w:sz w:val="20"/>
                <w:szCs w:val="20"/>
              </w:rPr>
              <w:t>1.3727</w:t>
            </w:r>
            <w:r w:rsidRPr="001578CB">
              <w:rPr>
                <w:rFonts w:ascii="Times New Roman" w:hAnsi="Times New Roman" w:cs="Times New Roman"/>
                <w:color w:val="000000"/>
                <w:sz w:val="20"/>
                <w:szCs w:val="20"/>
              </w:rPr>
              <w:t>)</w:t>
            </w:r>
          </w:p>
        </w:tc>
        <w:tc>
          <w:tcPr>
            <w:tcW w:w="1864" w:type="dxa"/>
            <w:tcBorders>
              <w:top w:val="nil"/>
              <w:left w:val="nil"/>
              <w:bottom w:val="nil"/>
              <w:right w:val="single" w:sz="4" w:space="0" w:color="auto"/>
            </w:tcBorders>
            <w:shd w:val="clear" w:color="auto" w:fill="auto"/>
            <w:noWrap/>
            <w:vAlign w:val="bottom"/>
          </w:tcPr>
          <w:p w14:paraId="66288CC5" w14:textId="77777777" w:rsidR="001431E4" w:rsidRPr="00365E19" w:rsidRDefault="001431E4" w:rsidP="001431E4">
            <w:pPr>
              <w:spacing w:after="0" w:line="240" w:lineRule="auto"/>
              <w:jc w:val="center"/>
              <w:rPr>
                <w:rFonts w:ascii="Times New Roman" w:eastAsia="Times New Roman" w:hAnsi="Times New Roman" w:cs="Times New Roman"/>
                <w:sz w:val="20"/>
                <w:szCs w:val="20"/>
                <w:lang w:eastAsia="en-NZ"/>
              </w:rPr>
            </w:pPr>
          </w:p>
        </w:tc>
        <w:tc>
          <w:tcPr>
            <w:tcW w:w="1375" w:type="dxa"/>
            <w:tcBorders>
              <w:top w:val="nil"/>
              <w:left w:val="single" w:sz="4" w:space="0" w:color="auto"/>
              <w:bottom w:val="nil"/>
              <w:right w:val="nil"/>
            </w:tcBorders>
            <w:shd w:val="clear" w:color="auto" w:fill="auto"/>
            <w:vAlign w:val="bottom"/>
          </w:tcPr>
          <w:p w14:paraId="3CAD54BB" w14:textId="7106462C" w:rsidR="001431E4" w:rsidRPr="00365E19" w:rsidRDefault="001431E4" w:rsidP="001431E4">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4.2649)</w:t>
            </w:r>
          </w:p>
        </w:tc>
        <w:tc>
          <w:tcPr>
            <w:tcW w:w="1906" w:type="dxa"/>
            <w:tcBorders>
              <w:top w:val="nil"/>
              <w:left w:val="nil"/>
              <w:bottom w:val="nil"/>
              <w:right w:val="nil"/>
            </w:tcBorders>
          </w:tcPr>
          <w:p w14:paraId="60986ABD" w14:textId="77777777" w:rsidR="001431E4" w:rsidRPr="00365E19" w:rsidRDefault="001431E4" w:rsidP="001431E4">
            <w:pPr>
              <w:spacing w:after="0" w:line="240" w:lineRule="auto"/>
              <w:jc w:val="center"/>
              <w:rPr>
                <w:rFonts w:ascii="Times New Roman" w:hAnsi="Times New Roman" w:cs="Times New Roman"/>
                <w:sz w:val="20"/>
                <w:szCs w:val="20"/>
              </w:rPr>
            </w:pPr>
          </w:p>
        </w:tc>
      </w:tr>
      <w:tr w:rsidR="006B0D98" w:rsidRPr="00365E19" w14:paraId="0E9FE492" w14:textId="77777777" w:rsidTr="001578CB">
        <w:trPr>
          <w:trHeight w:val="109"/>
        </w:trPr>
        <w:tc>
          <w:tcPr>
            <w:tcW w:w="4170" w:type="dxa"/>
            <w:tcBorders>
              <w:top w:val="nil"/>
              <w:left w:val="nil"/>
              <w:bottom w:val="nil"/>
              <w:right w:val="nil"/>
            </w:tcBorders>
            <w:shd w:val="clear" w:color="auto" w:fill="auto"/>
            <w:noWrap/>
            <w:vAlign w:val="bottom"/>
            <w:hideMark/>
          </w:tcPr>
          <w:p w14:paraId="0D72892B" w14:textId="77777777" w:rsidR="001F7717" w:rsidRPr="00365E19" w:rsidRDefault="001F7717">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TAR</w:t>
            </w:r>
          </w:p>
        </w:tc>
        <w:tc>
          <w:tcPr>
            <w:tcW w:w="1439" w:type="dxa"/>
            <w:tcBorders>
              <w:top w:val="nil"/>
              <w:left w:val="nil"/>
              <w:bottom w:val="nil"/>
              <w:right w:val="nil"/>
            </w:tcBorders>
            <w:shd w:val="clear" w:color="auto" w:fill="auto"/>
            <w:noWrap/>
            <w:vAlign w:val="bottom"/>
          </w:tcPr>
          <w:p w14:paraId="7E050152"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929" w:type="dxa"/>
            <w:tcBorders>
              <w:top w:val="nil"/>
              <w:left w:val="nil"/>
              <w:bottom w:val="nil"/>
              <w:right w:val="single" w:sz="4" w:space="0" w:color="auto"/>
            </w:tcBorders>
            <w:shd w:val="clear" w:color="auto" w:fill="auto"/>
            <w:noWrap/>
            <w:vAlign w:val="bottom"/>
          </w:tcPr>
          <w:p w14:paraId="2110AAAA" w14:textId="5ABDD759" w:rsidR="001F7717" w:rsidRPr="00365E19" w:rsidRDefault="00B5751E" w:rsidP="001F7717">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0.0447***</w:t>
            </w:r>
          </w:p>
        </w:tc>
        <w:tc>
          <w:tcPr>
            <w:tcW w:w="1272" w:type="dxa"/>
            <w:tcBorders>
              <w:top w:val="nil"/>
              <w:left w:val="single" w:sz="4" w:space="0" w:color="auto"/>
              <w:bottom w:val="nil"/>
              <w:right w:val="nil"/>
            </w:tcBorders>
          </w:tcPr>
          <w:p w14:paraId="1770099C"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864" w:type="dxa"/>
            <w:tcBorders>
              <w:top w:val="nil"/>
              <w:left w:val="nil"/>
              <w:bottom w:val="nil"/>
              <w:right w:val="single" w:sz="4" w:space="0" w:color="auto"/>
            </w:tcBorders>
            <w:shd w:val="clear" w:color="auto" w:fill="auto"/>
            <w:noWrap/>
            <w:vAlign w:val="bottom"/>
          </w:tcPr>
          <w:p w14:paraId="402D74F2" w14:textId="6BA77BF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-0.0604</w:t>
            </w:r>
            <w:r w:rsidR="00333888">
              <w:rPr>
                <w:rFonts w:ascii="Times New Roman" w:hAnsi="Times New Roman" w:cs="Times New Roman"/>
                <w:color w:val="000000"/>
                <w:sz w:val="20"/>
                <w:szCs w:val="20"/>
              </w:rPr>
              <w:t>*</w:t>
            </w:r>
          </w:p>
        </w:tc>
        <w:tc>
          <w:tcPr>
            <w:tcW w:w="1375" w:type="dxa"/>
            <w:tcBorders>
              <w:top w:val="nil"/>
              <w:left w:val="single" w:sz="4" w:space="0" w:color="auto"/>
              <w:bottom w:val="nil"/>
              <w:right w:val="nil"/>
            </w:tcBorders>
            <w:shd w:val="clear" w:color="auto" w:fill="auto"/>
            <w:vAlign w:val="bottom"/>
          </w:tcPr>
          <w:p w14:paraId="2AEC4880" w14:textId="5F56C3C6" w:rsidR="001F7717" w:rsidRPr="00365E19" w:rsidRDefault="001F7717" w:rsidP="001F7717">
            <w:pPr>
              <w:spacing w:after="0" w:line="240" w:lineRule="auto"/>
              <w:jc w:val="center"/>
              <w:rPr>
                <w:rFonts w:ascii="Times New Roman" w:hAnsi="Times New Roman" w:cs="Times New Roman"/>
                <w:sz w:val="20"/>
                <w:szCs w:val="20"/>
              </w:rPr>
            </w:pPr>
          </w:p>
        </w:tc>
        <w:tc>
          <w:tcPr>
            <w:tcW w:w="1906" w:type="dxa"/>
            <w:tcBorders>
              <w:top w:val="nil"/>
              <w:left w:val="nil"/>
              <w:bottom w:val="nil"/>
              <w:right w:val="nil"/>
            </w:tcBorders>
            <w:shd w:val="clear" w:color="auto" w:fill="auto"/>
            <w:vAlign w:val="bottom"/>
          </w:tcPr>
          <w:p w14:paraId="45A60F25" w14:textId="5B45561C" w:rsidR="001F7717" w:rsidRPr="00365E19" w:rsidRDefault="004529C6" w:rsidP="001F77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0.0479***</w:t>
            </w:r>
          </w:p>
        </w:tc>
      </w:tr>
      <w:tr w:rsidR="006B0D98" w:rsidRPr="00365E19" w14:paraId="039CA06D" w14:textId="77777777" w:rsidTr="001578CB">
        <w:trPr>
          <w:trHeight w:val="109"/>
        </w:trPr>
        <w:tc>
          <w:tcPr>
            <w:tcW w:w="4170" w:type="dxa"/>
            <w:tcBorders>
              <w:top w:val="nil"/>
              <w:left w:val="nil"/>
              <w:bottom w:val="nil"/>
              <w:right w:val="nil"/>
            </w:tcBorders>
            <w:shd w:val="clear" w:color="auto" w:fill="auto"/>
            <w:noWrap/>
            <w:vAlign w:val="bottom"/>
            <w:hideMark/>
          </w:tcPr>
          <w:p w14:paraId="27107E9F" w14:textId="77777777" w:rsidR="001F7717" w:rsidRPr="00365E19" w:rsidRDefault="001F7717" w:rsidP="001578CB">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3ED65B79"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929" w:type="dxa"/>
            <w:tcBorders>
              <w:top w:val="nil"/>
              <w:left w:val="nil"/>
              <w:bottom w:val="nil"/>
              <w:right w:val="single" w:sz="4" w:space="0" w:color="auto"/>
            </w:tcBorders>
            <w:shd w:val="clear" w:color="auto" w:fill="auto"/>
            <w:noWrap/>
            <w:vAlign w:val="bottom"/>
          </w:tcPr>
          <w:p w14:paraId="40801643" w14:textId="51B34E7F"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4.1067)</w:t>
            </w:r>
          </w:p>
        </w:tc>
        <w:tc>
          <w:tcPr>
            <w:tcW w:w="1272" w:type="dxa"/>
            <w:tcBorders>
              <w:top w:val="nil"/>
              <w:left w:val="single" w:sz="4" w:space="0" w:color="auto"/>
              <w:bottom w:val="nil"/>
              <w:right w:val="nil"/>
            </w:tcBorders>
          </w:tcPr>
          <w:p w14:paraId="0CE2D1FF"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864" w:type="dxa"/>
            <w:tcBorders>
              <w:top w:val="nil"/>
              <w:left w:val="nil"/>
              <w:bottom w:val="nil"/>
              <w:right w:val="single" w:sz="4" w:space="0" w:color="auto"/>
            </w:tcBorders>
            <w:shd w:val="clear" w:color="auto" w:fill="auto"/>
            <w:noWrap/>
            <w:vAlign w:val="bottom"/>
          </w:tcPr>
          <w:p w14:paraId="749EEC50" w14:textId="390B6979"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(-1.6</w:t>
            </w:r>
            <w:r w:rsidR="00333888">
              <w:rPr>
                <w:rFonts w:ascii="Times New Roman" w:hAnsi="Times New Roman" w:cs="Times New Roman"/>
                <w:color w:val="000000"/>
                <w:sz w:val="20"/>
                <w:szCs w:val="20"/>
              </w:rPr>
              <w:t>7</w:t>
            </w:r>
            <w:r w:rsidRPr="001578CB">
              <w:rPr>
                <w:rFonts w:ascii="Times New Roman" w:hAnsi="Times New Roman" w:cs="Times New Roman"/>
                <w:color w:val="000000"/>
                <w:sz w:val="20"/>
                <w:szCs w:val="20"/>
              </w:rPr>
              <w:t>31)</w:t>
            </w:r>
          </w:p>
        </w:tc>
        <w:tc>
          <w:tcPr>
            <w:tcW w:w="1375" w:type="dxa"/>
            <w:tcBorders>
              <w:top w:val="nil"/>
              <w:left w:val="single" w:sz="4" w:space="0" w:color="auto"/>
              <w:bottom w:val="nil"/>
              <w:right w:val="nil"/>
            </w:tcBorders>
            <w:shd w:val="clear" w:color="auto" w:fill="auto"/>
            <w:vAlign w:val="bottom"/>
          </w:tcPr>
          <w:p w14:paraId="0FDCC09C" w14:textId="00268E49" w:rsidR="001F7717" w:rsidRPr="00365E19" w:rsidRDefault="001F7717" w:rsidP="001F7717">
            <w:pPr>
              <w:spacing w:after="0" w:line="240" w:lineRule="auto"/>
              <w:jc w:val="center"/>
              <w:rPr>
                <w:rFonts w:ascii="Times New Roman" w:hAnsi="Times New Roman" w:cs="Times New Roman"/>
                <w:sz w:val="20"/>
                <w:szCs w:val="20"/>
              </w:rPr>
            </w:pPr>
          </w:p>
        </w:tc>
        <w:tc>
          <w:tcPr>
            <w:tcW w:w="1906" w:type="dxa"/>
            <w:tcBorders>
              <w:top w:val="nil"/>
              <w:left w:val="nil"/>
              <w:bottom w:val="nil"/>
              <w:right w:val="nil"/>
            </w:tcBorders>
            <w:shd w:val="clear" w:color="auto" w:fill="auto"/>
            <w:vAlign w:val="bottom"/>
          </w:tcPr>
          <w:p w14:paraId="22D5EAC7" w14:textId="33E1FB05"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4.9989)</w:t>
            </w:r>
          </w:p>
        </w:tc>
      </w:tr>
      <w:tr w:rsidR="006B0D98" w:rsidRPr="00365E19" w14:paraId="357A87F8" w14:textId="77777777" w:rsidTr="001578CB">
        <w:trPr>
          <w:trHeight w:val="109"/>
        </w:trPr>
        <w:tc>
          <w:tcPr>
            <w:tcW w:w="4170" w:type="dxa"/>
            <w:tcBorders>
              <w:top w:val="nil"/>
              <w:left w:val="nil"/>
              <w:bottom w:val="nil"/>
              <w:right w:val="nil"/>
            </w:tcBorders>
            <w:shd w:val="clear" w:color="auto" w:fill="auto"/>
            <w:noWrap/>
            <w:vAlign w:val="bottom"/>
          </w:tcPr>
          <w:p w14:paraId="36D64CAA" w14:textId="1A5929E5" w:rsidR="001F7717" w:rsidRPr="00365E19" w:rsidRDefault="001F7717" w:rsidP="001578CB">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AEM*LAW</w:t>
            </w:r>
          </w:p>
        </w:tc>
        <w:tc>
          <w:tcPr>
            <w:tcW w:w="1439" w:type="dxa"/>
            <w:tcBorders>
              <w:top w:val="nil"/>
              <w:left w:val="nil"/>
              <w:bottom w:val="nil"/>
              <w:right w:val="nil"/>
            </w:tcBorders>
            <w:shd w:val="clear" w:color="auto" w:fill="auto"/>
            <w:noWrap/>
            <w:vAlign w:val="bottom"/>
          </w:tcPr>
          <w:p w14:paraId="5647D539" w14:textId="258B75C2"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-0.0003</w:t>
            </w:r>
          </w:p>
        </w:tc>
        <w:tc>
          <w:tcPr>
            <w:tcW w:w="1929" w:type="dxa"/>
            <w:tcBorders>
              <w:top w:val="nil"/>
              <w:left w:val="nil"/>
              <w:bottom w:val="nil"/>
              <w:right w:val="single" w:sz="4" w:space="0" w:color="auto"/>
            </w:tcBorders>
            <w:shd w:val="clear" w:color="auto" w:fill="auto"/>
            <w:noWrap/>
            <w:vAlign w:val="bottom"/>
          </w:tcPr>
          <w:p w14:paraId="1CCBBFC7"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4F89077D" w14:textId="3E510960" w:rsidR="001F7717" w:rsidRPr="00365E19" w:rsidRDefault="004529C6" w:rsidP="001F77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0.0185*</w:t>
            </w:r>
          </w:p>
        </w:tc>
        <w:tc>
          <w:tcPr>
            <w:tcW w:w="1864" w:type="dxa"/>
            <w:tcBorders>
              <w:top w:val="nil"/>
              <w:left w:val="nil"/>
              <w:bottom w:val="nil"/>
              <w:right w:val="single" w:sz="4" w:space="0" w:color="auto"/>
            </w:tcBorders>
            <w:shd w:val="clear" w:color="auto" w:fill="auto"/>
            <w:noWrap/>
            <w:vAlign w:val="bottom"/>
          </w:tcPr>
          <w:p w14:paraId="56F12A37"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7CED57B8" w14:textId="5D60E323"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-0.0022</w:t>
            </w:r>
          </w:p>
        </w:tc>
        <w:tc>
          <w:tcPr>
            <w:tcW w:w="1906" w:type="dxa"/>
            <w:tcBorders>
              <w:top w:val="nil"/>
              <w:left w:val="nil"/>
              <w:bottom w:val="nil"/>
              <w:right w:val="nil"/>
            </w:tcBorders>
          </w:tcPr>
          <w:p w14:paraId="384B2295"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r>
      <w:tr w:rsidR="006B0D98" w:rsidRPr="00365E19" w14:paraId="245699AB" w14:textId="77777777" w:rsidTr="001578CB">
        <w:trPr>
          <w:trHeight w:val="109"/>
        </w:trPr>
        <w:tc>
          <w:tcPr>
            <w:tcW w:w="4170" w:type="dxa"/>
            <w:tcBorders>
              <w:top w:val="nil"/>
              <w:left w:val="nil"/>
              <w:bottom w:val="nil"/>
              <w:right w:val="nil"/>
            </w:tcBorders>
            <w:shd w:val="clear" w:color="auto" w:fill="auto"/>
            <w:noWrap/>
            <w:vAlign w:val="bottom"/>
          </w:tcPr>
          <w:p w14:paraId="2ECB7839" w14:textId="77777777" w:rsidR="001F7717" w:rsidRPr="00365E19" w:rsidRDefault="001F7717" w:rsidP="001578CB">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4ECFF0C8" w14:textId="7231593B"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(-0.1463)</w:t>
            </w:r>
          </w:p>
        </w:tc>
        <w:tc>
          <w:tcPr>
            <w:tcW w:w="1929" w:type="dxa"/>
            <w:tcBorders>
              <w:top w:val="nil"/>
              <w:left w:val="nil"/>
              <w:bottom w:val="nil"/>
              <w:right w:val="single" w:sz="4" w:space="0" w:color="auto"/>
            </w:tcBorders>
            <w:shd w:val="clear" w:color="auto" w:fill="auto"/>
            <w:noWrap/>
            <w:vAlign w:val="bottom"/>
          </w:tcPr>
          <w:p w14:paraId="1A550CD7"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4BDA41F6" w14:textId="443F972D"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1.8880)</w:t>
            </w:r>
          </w:p>
        </w:tc>
        <w:tc>
          <w:tcPr>
            <w:tcW w:w="1864" w:type="dxa"/>
            <w:tcBorders>
              <w:top w:val="nil"/>
              <w:left w:val="nil"/>
              <w:bottom w:val="nil"/>
              <w:right w:val="single" w:sz="4" w:space="0" w:color="auto"/>
            </w:tcBorders>
            <w:shd w:val="clear" w:color="auto" w:fill="auto"/>
            <w:noWrap/>
            <w:vAlign w:val="bottom"/>
          </w:tcPr>
          <w:p w14:paraId="0F215A81"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0D99BC11" w14:textId="68F68C2E"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(-0.2795)</w:t>
            </w:r>
          </w:p>
        </w:tc>
        <w:tc>
          <w:tcPr>
            <w:tcW w:w="1906" w:type="dxa"/>
            <w:tcBorders>
              <w:top w:val="nil"/>
              <w:left w:val="nil"/>
              <w:bottom w:val="nil"/>
              <w:right w:val="nil"/>
            </w:tcBorders>
          </w:tcPr>
          <w:p w14:paraId="5DD08A4D"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r>
      <w:tr w:rsidR="006B0D98" w:rsidRPr="00365E19" w14:paraId="65BFDD2F" w14:textId="77777777" w:rsidTr="001578CB">
        <w:trPr>
          <w:trHeight w:val="109"/>
        </w:trPr>
        <w:tc>
          <w:tcPr>
            <w:tcW w:w="4170" w:type="dxa"/>
            <w:tcBorders>
              <w:top w:val="nil"/>
              <w:left w:val="nil"/>
              <w:bottom w:val="nil"/>
              <w:right w:val="nil"/>
            </w:tcBorders>
            <w:shd w:val="clear" w:color="auto" w:fill="auto"/>
            <w:noWrap/>
            <w:vAlign w:val="bottom"/>
          </w:tcPr>
          <w:p w14:paraId="5AE0FBCD" w14:textId="69A8F760" w:rsidR="001F7717" w:rsidRPr="00365E19" w:rsidRDefault="001F7717" w:rsidP="001578CB">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RAM*LAW</w:t>
            </w:r>
          </w:p>
        </w:tc>
        <w:tc>
          <w:tcPr>
            <w:tcW w:w="1439" w:type="dxa"/>
            <w:tcBorders>
              <w:top w:val="nil"/>
              <w:left w:val="nil"/>
              <w:bottom w:val="nil"/>
              <w:right w:val="nil"/>
            </w:tcBorders>
            <w:shd w:val="clear" w:color="auto" w:fill="auto"/>
            <w:noWrap/>
            <w:vAlign w:val="bottom"/>
          </w:tcPr>
          <w:p w14:paraId="0428DA91" w14:textId="6B9A417B" w:rsidR="001F7717" w:rsidRPr="00365E19" w:rsidRDefault="004529C6" w:rsidP="001F7717">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0.0050***</w:t>
            </w:r>
          </w:p>
        </w:tc>
        <w:tc>
          <w:tcPr>
            <w:tcW w:w="1929" w:type="dxa"/>
            <w:tcBorders>
              <w:top w:val="nil"/>
              <w:left w:val="nil"/>
              <w:bottom w:val="nil"/>
              <w:right w:val="single" w:sz="4" w:space="0" w:color="auto"/>
            </w:tcBorders>
            <w:shd w:val="clear" w:color="auto" w:fill="auto"/>
            <w:noWrap/>
            <w:vAlign w:val="bottom"/>
          </w:tcPr>
          <w:p w14:paraId="2E55A027"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25EDC9D7" w14:textId="0EDEB197" w:rsidR="001F7717" w:rsidRPr="00365E19" w:rsidRDefault="004529C6" w:rsidP="001F77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0.0249**</w:t>
            </w:r>
          </w:p>
        </w:tc>
        <w:tc>
          <w:tcPr>
            <w:tcW w:w="1864" w:type="dxa"/>
            <w:tcBorders>
              <w:top w:val="nil"/>
              <w:left w:val="nil"/>
              <w:bottom w:val="nil"/>
              <w:right w:val="single" w:sz="4" w:space="0" w:color="auto"/>
            </w:tcBorders>
            <w:shd w:val="clear" w:color="auto" w:fill="auto"/>
            <w:noWrap/>
            <w:vAlign w:val="bottom"/>
          </w:tcPr>
          <w:p w14:paraId="2E65167F"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771CD45C" w14:textId="1ABE6A0D" w:rsidR="001F7717" w:rsidRPr="00365E19" w:rsidRDefault="004529C6" w:rsidP="001F77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0.0226***</w:t>
            </w:r>
          </w:p>
        </w:tc>
        <w:tc>
          <w:tcPr>
            <w:tcW w:w="1906" w:type="dxa"/>
            <w:tcBorders>
              <w:top w:val="nil"/>
              <w:left w:val="nil"/>
              <w:bottom w:val="nil"/>
              <w:right w:val="nil"/>
            </w:tcBorders>
          </w:tcPr>
          <w:p w14:paraId="280BBF8A"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r>
      <w:tr w:rsidR="006B0D98" w:rsidRPr="00365E19" w14:paraId="4BD64A13" w14:textId="77777777" w:rsidTr="001578CB">
        <w:trPr>
          <w:trHeight w:val="109"/>
        </w:trPr>
        <w:tc>
          <w:tcPr>
            <w:tcW w:w="4170" w:type="dxa"/>
            <w:tcBorders>
              <w:top w:val="nil"/>
              <w:left w:val="nil"/>
              <w:bottom w:val="nil"/>
              <w:right w:val="nil"/>
            </w:tcBorders>
            <w:shd w:val="clear" w:color="auto" w:fill="auto"/>
            <w:noWrap/>
            <w:vAlign w:val="bottom"/>
          </w:tcPr>
          <w:p w14:paraId="05B12A6F" w14:textId="77777777" w:rsidR="001F7717" w:rsidRPr="00365E19" w:rsidRDefault="001F7717" w:rsidP="001578CB">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78B5A762" w14:textId="50909739"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2.6210)</w:t>
            </w:r>
          </w:p>
        </w:tc>
        <w:tc>
          <w:tcPr>
            <w:tcW w:w="1929" w:type="dxa"/>
            <w:tcBorders>
              <w:top w:val="nil"/>
              <w:left w:val="nil"/>
              <w:bottom w:val="nil"/>
              <w:right w:val="single" w:sz="4" w:space="0" w:color="auto"/>
            </w:tcBorders>
            <w:shd w:val="clear" w:color="auto" w:fill="auto"/>
            <w:noWrap/>
            <w:vAlign w:val="bottom"/>
          </w:tcPr>
          <w:p w14:paraId="6BE34A3E"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vAlign w:val="bottom"/>
          </w:tcPr>
          <w:p w14:paraId="09A41F3E" w14:textId="24A37E5F"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2.4591)</w:t>
            </w:r>
          </w:p>
        </w:tc>
        <w:tc>
          <w:tcPr>
            <w:tcW w:w="1864" w:type="dxa"/>
            <w:tcBorders>
              <w:top w:val="nil"/>
              <w:left w:val="nil"/>
              <w:bottom w:val="nil"/>
              <w:right w:val="single" w:sz="4" w:space="0" w:color="auto"/>
            </w:tcBorders>
            <w:shd w:val="clear" w:color="auto" w:fill="auto"/>
            <w:noWrap/>
            <w:vAlign w:val="bottom"/>
          </w:tcPr>
          <w:p w14:paraId="784F4498"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14076878" w14:textId="60FE6ACA"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2.7318)</w:t>
            </w:r>
          </w:p>
        </w:tc>
        <w:tc>
          <w:tcPr>
            <w:tcW w:w="1906" w:type="dxa"/>
            <w:tcBorders>
              <w:top w:val="nil"/>
              <w:left w:val="nil"/>
              <w:bottom w:val="nil"/>
              <w:right w:val="nil"/>
            </w:tcBorders>
          </w:tcPr>
          <w:p w14:paraId="7B3F70C6"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r>
      <w:tr w:rsidR="006B0D98" w:rsidRPr="00365E19" w14:paraId="0B69D154" w14:textId="77777777" w:rsidTr="001578CB">
        <w:trPr>
          <w:trHeight w:val="109"/>
        </w:trPr>
        <w:tc>
          <w:tcPr>
            <w:tcW w:w="4170" w:type="dxa"/>
            <w:tcBorders>
              <w:top w:val="nil"/>
              <w:left w:val="nil"/>
              <w:bottom w:val="nil"/>
              <w:right w:val="nil"/>
            </w:tcBorders>
            <w:shd w:val="clear" w:color="auto" w:fill="auto"/>
            <w:noWrap/>
            <w:vAlign w:val="bottom"/>
          </w:tcPr>
          <w:p w14:paraId="5BB7567D" w14:textId="12271F21" w:rsidR="001F7717" w:rsidRPr="00365E19" w:rsidRDefault="001F7717" w:rsidP="001578CB">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TAR*LAW</w:t>
            </w:r>
          </w:p>
        </w:tc>
        <w:tc>
          <w:tcPr>
            <w:tcW w:w="1439" w:type="dxa"/>
            <w:tcBorders>
              <w:top w:val="nil"/>
              <w:left w:val="nil"/>
              <w:bottom w:val="nil"/>
              <w:right w:val="nil"/>
            </w:tcBorders>
            <w:shd w:val="clear" w:color="auto" w:fill="auto"/>
            <w:noWrap/>
            <w:vAlign w:val="bottom"/>
          </w:tcPr>
          <w:p w14:paraId="237DE84F"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929" w:type="dxa"/>
            <w:tcBorders>
              <w:top w:val="nil"/>
              <w:left w:val="nil"/>
              <w:bottom w:val="nil"/>
              <w:right w:val="single" w:sz="4" w:space="0" w:color="auto"/>
            </w:tcBorders>
            <w:shd w:val="clear" w:color="auto" w:fill="auto"/>
            <w:noWrap/>
            <w:vAlign w:val="bottom"/>
          </w:tcPr>
          <w:p w14:paraId="3045E296" w14:textId="2648D2F0" w:rsidR="001F7717" w:rsidRPr="00365E19" w:rsidRDefault="004529C6" w:rsidP="001F7717">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0.0024*</w:t>
            </w:r>
          </w:p>
        </w:tc>
        <w:tc>
          <w:tcPr>
            <w:tcW w:w="1272" w:type="dxa"/>
            <w:tcBorders>
              <w:top w:val="nil"/>
              <w:left w:val="single" w:sz="4" w:space="0" w:color="auto"/>
              <w:bottom w:val="nil"/>
              <w:right w:val="nil"/>
            </w:tcBorders>
          </w:tcPr>
          <w:p w14:paraId="04125DB3"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864" w:type="dxa"/>
            <w:tcBorders>
              <w:top w:val="nil"/>
              <w:left w:val="nil"/>
              <w:bottom w:val="nil"/>
              <w:right w:val="single" w:sz="4" w:space="0" w:color="auto"/>
            </w:tcBorders>
            <w:shd w:val="clear" w:color="auto" w:fill="auto"/>
            <w:noWrap/>
            <w:vAlign w:val="bottom"/>
          </w:tcPr>
          <w:p w14:paraId="4FA16143" w14:textId="45030E22" w:rsidR="001F7717" w:rsidRPr="00365E19" w:rsidRDefault="004529C6" w:rsidP="001F77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0.0227***</w:t>
            </w:r>
          </w:p>
        </w:tc>
        <w:tc>
          <w:tcPr>
            <w:tcW w:w="1375" w:type="dxa"/>
            <w:tcBorders>
              <w:top w:val="nil"/>
              <w:left w:val="single" w:sz="4" w:space="0" w:color="auto"/>
              <w:bottom w:val="nil"/>
              <w:right w:val="nil"/>
            </w:tcBorders>
            <w:shd w:val="clear" w:color="auto" w:fill="auto"/>
            <w:vAlign w:val="bottom"/>
          </w:tcPr>
          <w:p w14:paraId="7D1D1AE2"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906" w:type="dxa"/>
            <w:tcBorders>
              <w:top w:val="nil"/>
              <w:left w:val="nil"/>
              <w:bottom w:val="nil"/>
              <w:right w:val="nil"/>
            </w:tcBorders>
            <w:shd w:val="clear" w:color="auto" w:fill="auto"/>
            <w:vAlign w:val="bottom"/>
          </w:tcPr>
          <w:p w14:paraId="609D3E3F" w14:textId="58E3608F" w:rsidR="001F7717" w:rsidRPr="00365E19" w:rsidRDefault="004529C6" w:rsidP="001F77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1F7717" w:rsidRPr="001578CB">
              <w:rPr>
                <w:rFonts w:ascii="Times New Roman" w:hAnsi="Times New Roman" w:cs="Times New Roman"/>
                <w:color w:val="000000"/>
                <w:sz w:val="20"/>
                <w:szCs w:val="20"/>
              </w:rPr>
              <w:t>0.0100*</w:t>
            </w:r>
          </w:p>
        </w:tc>
      </w:tr>
      <w:tr w:rsidR="006B0D98" w:rsidRPr="00365E19" w14:paraId="62434F80" w14:textId="77777777" w:rsidTr="001578CB">
        <w:trPr>
          <w:trHeight w:val="109"/>
        </w:trPr>
        <w:tc>
          <w:tcPr>
            <w:tcW w:w="4170" w:type="dxa"/>
            <w:tcBorders>
              <w:top w:val="nil"/>
              <w:left w:val="nil"/>
              <w:bottom w:val="nil"/>
              <w:right w:val="nil"/>
            </w:tcBorders>
            <w:shd w:val="clear" w:color="auto" w:fill="auto"/>
            <w:noWrap/>
            <w:vAlign w:val="bottom"/>
          </w:tcPr>
          <w:p w14:paraId="6BD73214" w14:textId="77777777" w:rsidR="001F7717" w:rsidRPr="00365E19" w:rsidRDefault="001F7717" w:rsidP="001578CB">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39A92400" w14:textId="77777777"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p>
        </w:tc>
        <w:tc>
          <w:tcPr>
            <w:tcW w:w="1929" w:type="dxa"/>
            <w:tcBorders>
              <w:top w:val="nil"/>
              <w:left w:val="nil"/>
              <w:bottom w:val="nil"/>
              <w:right w:val="single" w:sz="4" w:space="0" w:color="auto"/>
            </w:tcBorders>
            <w:shd w:val="clear" w:color="auto" w:fill="auto"/>
            <w:noWrap/>
            <w:vAlign w:val="bottom"/>
          </w:tcPr>
          <w:p w14:paraId="28D6DBDC" w14:textId="7BA9201A" w:rsidR="001F7717" w:rsidRPr="00365E19" w:rsidRDefault="001F7717" w:rsidP="001F7717">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1.9017)</w:t>
            </w:r>
          </w:p>
        </w:tc>
        <w:tc>
          <w:tcPr>
            <w:tcW w:w="1272" w:type="dxa"/>
            <w:tcBorders>
              <w:top w:val="nil"/>
              <w:left w:val="single" w:sz="4" w:space="0" w:color="auto"/>
              <w:bottom w:val="nil"/>
              <w:right w:val="nil"/>
            </w:tcBorders>
          </w:tcPr>
          <w:p w14:paraId="55BD41D1"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864" w:type="dxa"/>
            <w:tcBorders>
              <w:top w:val="nil"/>
              <w:left w:val="nil"/>
              <w:bottom w:val="nil"/>
              <w:right w:val="single" w:sz="4" w:space="0" w:color="auto"/>
            </w:tcBorders>
            <w:shd w:val="clear" w:color="auto" w:fill="auto"/>
            <w:noWrap/>
            <w:vAlign w:val="bottom"/>
          </w:tcPr>
          <w:p w14:paraId="5892BFEC" w14:textId="7715005E"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3.3816)</w:t>
            </w:r>
          </w:p>
        </w:tc>
        <w:tc>
          <w:tcPr>
            <w:tcW w:w="1375" w:type="dxa"/>
            <w:tcBorders>
              <w:top w:val="nil"/>
              <w:left w:val="single" w:sz="4" w:space="0" w:color="auto"/>
              <w:bottom w:val="nil"/>
              <w:right w:val="nil"/>
            </w:tcBorders>
            <w:shd w:val="clear" w:color="auto" w:fill="auto"/>
            <w:vAlign w:val="bottom"/>
          </w:tcPr>
          <w:p w14:paraId="10D9A823" w14:textId="77777777" w:rsidR="001F7717" w:rsidRPr="00365E19" w:rsidRDefault="001F7717" w:rsidP="001F7717">
            <w:pPr>
              <w:spacing w:after="0" w:line="240" w:lineRule="auto"/>
              <w:jc w:val="center"/>
              <w:rPr>
                <w:rFonts w:ascii="Times New Roman" w:hAnsi="Times New Roman" w:cs="Times New Roman"/>
                <w:color w:val="000000"/>
                <w:sz w:val="20"/>
                <w:szCs w:val="20"/>
              </w:rPr>
            </w:pPr>
          </w:p>
        </w:tc>
        <w:tc>
          <w:tcPr>
            <w:tcW w:w="1906" w:type="dxa"/>
            <w:tcBorders>
              <w:top w:val="nil"/>
              <w:left w:val="nil"/>
              <w:bottom w:val="nil"/>
              <w:right w:val="nil"/>
            </w:tcBorders>
            <w:shd w:val="clear" w:color="auto" w:fill="auto"/>
            <w:vAlign w:val="bottom"/>
          </w:tcPr>
          <w:p w14:paraId="091413AB" w14:textId="3852C8BD"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4529C6">
              <w:rPr>
                <w:rFonts w:ascii="Times New Roman" w:hAnsi="Times New Roman" w:cs="Times New Roman"/>
                <w:color w:val="000000"/>
                <w:sz w:val="20"/>
                <w:szCs w:val="20"/>
              </w:rPr>
              <w:t>-</w:t>
            </w:r>
            <w:r w:rsidRPr="001578CB">
              <w:rPr>
                <w:rFonts w:ascii="Times New Roman" w:hAnsi="Times New Roman" w:cs="Times New Roman"/>
                <w:color w:val="000000"/>
                <w:sz w:val="20"/>
                <w:szCs w:val="20"/>
              </w:rPr>
              <w:t>1.8483)</w:t>
            </w:r>
          </w:p>
        </w:tc>
      </w:tr>
      <w:tr w:rsidR="006B0D98" w:rsidRPr="00365E19" w14:paraId="26FA2BFC" w14:textId="77777777" w:rsidTr="001578CB">
        <w:trPr>
          <w:trHeight w:val="109"/>
        </w:trPr>
        <w:tc>
          <w:tcPr>
            <w:tcW w:w="4170" w:type="dxa"/>
            <w:tcBorders>
              <w:top w:val="nil"/>
              <w:left w:val="nil"/>
              <w:bottom w:val="nil"/>
              <w:right w:val="nil"/>
            </w:tcBorders>
            <w:shd w:val="clear" w:color="auto" w:fill="auto"/>
            <w:noWrap/>
            <w:vAlign w:val="bottom"/>
          </w:tcPr>
          <w:p w14:paraId="2EE43F69" w14:textId="01E1F522" w:rsidR="001F7717" w:rsidRPr="00365E19" w:rsidRDefault="001F7717" w:rsidP="001F7717">
            <w:pPr>
              <w:spacing w:after="0" w:line="240" w:lineRule="auto"/>
              <w:rPr>
                <w:rFonts w:ascii="Times New Roman" w:eastAsia="Times New Roman" w:hAnsi="Times New Roman" w:cs="Times New Roman"/>
                <w:sz w:val="20"/>
                <w:szCs w:val="20"/>
                <w:lang w:eastAsia="en-NZ"/>
              </w:rPr>
            </w:pPr>
            <w:r w:rsidRPr="001578CB">
              <w:rPr>
                <w:rFonts w:ascii="Times New Roman" w:eastAsia="Times New Roman" w:hAnsi="Times New Roman" w:cs="Times New Roman"/>
                <w:sz w:val="20"/>
                <w:szCs w:val="20"/>
                <w:lang w:eastAsia="en-NZ"/>
              </w:rPr>
              <w:t>LAW</w:t>
            </w:r>
          </w:p>
        </w:tc>
        <w:tc>
          <w:tcPr>
            <w:tcW w:w="1439" w:type="dxa"/>
            <w:tcBorders>
              <w:top w:val="nil"/>
              <w:left w:val="nil"/>
              <w:bottom w:val="nil"/>
              <w:right w:val="nil"/>
            </w:tcBorders>
            <w:shd w:val="clear" w:color="auto" w:fill="auto"/>
            <w:noWrap/>
            <w:vAlign w:val="bottom"/>
          </w:tcPr>
          <w:p w14:paraId="0561632F" w14:textId="36AC621E"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0.0066</w:t>
            </w:r>
          </w:p>
        </w:tc>
        <w:tc>
          <w:tcPr>
            <w:tcW w:w="1929" w:type="dxa"/>
            <w:tcBorders>
              <w:top w:val="nil"/>
              <w:left w:val="nil"/>
              <w:bottom w:val="nil"/>
              <w:right w:val="single" w:sz="4" w:space="0" w:color="auto"/>
            </w:tcBorders>
            <w:shd w:val="clear" w:color="auto" w:fill="auto"/>
            <w:noWrap/>
            <w:vAlign w:val="bottom"/>
          </w:tcPr>
          <w:p w14:paraId="0426B2DB" w14:textId="0E3CF417"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0.0066</w:t>
            </w:r>
          </w:p>
        </w:tc>
        <w:tc>
          <w:tcPr>
            <w:tcW w:w="1272" w:type="dxa"/>
            <w:tcBorders>
              <w:top w:val="nil"/>
              <w:left w:val="single" w:sz="4" w:space="0" w:color="auto"/>
              <w:bottom w:val="nil"/>
              <w:right w:val="nil"/>
            </w:tcBorders>
            <w:vAlign w:val="bottom"/>
          </w:tcPr>
          <w:p w14:paraId="5BA8388D" w14:textId="0C659216"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0.0279**</w:t>
            </w:r>
          </w:p>
        </w:tc>
        <w:tc>
          <w:tcPr>
            <w:tcW w:w="1864" w:type="dxa"/>
            <w:tcBorders>
              <w:top w:val="nil"/>
              <w:left w:val="nil"/>
              <w:bottom w:val="nil"/>
              <w:right w:val="single" w:sz="4" w:space="0" w:color="auto"/>
            </w:tcBorders>
            <w:shd w:val="clear" w:color="auto" w:fill="auto"/>
            <w:noWrap/>
            <w:vAlign w:val="bottom"/>
          </w:tcPr>
          <w:p w14:paraId="5F8E4D84" w14:textId="7D6EF1D4"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0.0269**</w:t>
            </w:r>
          </w:p>
        </w:tc>
        <w:tc>
          <w:tcPr>
            <w:tcW w:w="1375" w:type="dxa"/>
            <w:tcBorders>
              <w:top w:val="nil"/>
              <w:left w:val="single" w:sz="4" w:space="0" w:color="auto"/>
              <w:bottom w:val="nil"/>
              <w:right w:val="nil"/>
            </w:tcBorders>
            <w:shd w:val="clear" w:color="auto" w:fill="auto"/>
            <w:vAlign w:val="bottom"/>
          </w:tcPr>
          <w:p w14:paraId="7140A80D" w14:textId="4C614C7E"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0.0325**</w:t>
            </w:r>
          </w:p>
        </w:tc>
        <w:tc>
          <w:tcPr>
            <w:tcW w:w="1906" w:type="dxa"/>
            <w:tcBorders>
              <w:top w:val="nil"/>
              <w:left w:val="nil"/>
              <w:bottom w:val="nil"/>
              <w:right w:val="nil"/>
            </w:tcBorders>
            <w:vAlign w:val="bottom"/>
          </w:tcPr>
          <w:p w14:paraId="587BF887" w14:textId="40735587"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0.0315**</w:t>
            </w:r>
          </w:p>
        </w:tc>
      </w:tr>
      <w:tr w:rsidR="006B0D98" w:rsidRPr="00365E19" w14:paraId="3A087D18" w14:textId="77777777" w:rsidTr="001578CB">
        <w:trPr>
          <w:trHeight w:val="109"/>
        </w:trPr>
        <w:tc>
          <w:tcPr>
            <w:tcW w:w="4170" w:type="dxa"/>
            <w:tcBorders>
              <w:top w:val="nil"/>
              <w:left w:val="nil"/>
              <w:bottom w:val="nil"/>
              <w:right w:val="nil"/>
            </w:tcBorders>
            <w:shd w:val="clear" w:color="auto" w:fill="auto"/>
            <w:noWrap/>
            <w:vAlign w:val="bottom"/>
          </w:tcPr>
          <w:p w14:paraId="400B8765" w14:textId="77777777" w:rsidR="001F7717" w:rsidRPr="00365E19" w:rsidRDefault="001F7717" w:rsidP="001F7717">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1555F8C6" w14:textId="536CCC01"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(1.4596)</w:t>
            </w:r>
          </w:p>
        </w:tc>
        <w:tc>
          <w:tcPr>
            <w:tcW w:w="1929" w:type="dxa"/>
            <w:tcBorders>
              <w:top w:val="nil"/>
              <w:left w:val="nil"/>
              <w:bottom w:val="nil"/>
              <w:right w:val="single" w:sz="4" w:space="0" w:color="auto"/>
            </w:tcBorders>
            <w:shd w:val="clear" w:color="auto" w:fill="auto"/>
            <w:noWrap/>
            <w:vAlign w:val="bottom"/>
          </w:tcPr>
          <w:p w14:paraId="1E35778F" w14:textId="0FDB1E4E"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(1.4625)</w:t>
            </w:r>
          </w:p>
        </w:tc>
        <w:tc>
          <w:tcPr>
            <w:tcW w:w="1272" w:type="dxa"/>
            <w:tcBorders>
              <w:top w:val="nil"/>
              <w:left w:val="single" w:sz="4" w:space="0" w:color="auto"/>
              <w:bottom w:val="nil"/>
              <w:right w:val="nil"/>
            </w:tcBorders>
            <w:vAlign w:val="bottom"/>
          </w:tcPr>
          <w:p w14:paraId="04386233" w14:textId="422F3714"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(2.2996)</w:t>
            </w:r>
          </w:p>
        </w:tc>
        <w:tc>
          <w:tcPr>
            <w:tcW w:w="1864" w:type="dxa"/>
            <w:tcBorders>
              <w:top w:val="nil"/>
              <w:left w:val="nil"/>
              <w:bottom w:val="nil"/>
              <w:right w:val="single" w:sz="4" w:space="0" w:color="auto"/>
            </w:tcBorders>
            <w:shd w:val="clear" w:color="auto" w:fill="auto"/>
            <w:noWrap/>
            <w:vAlign w:val="bottom"/>
          </w:tcPr>
          <w:p w14:paraId="021BE951" w14:textId="69DA16E6"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(2.2223)</w:t>
            </w:r>
          </w:p>
        </w:tc>
        <w:tc>
          <w:tcPr>
            <w:tcW w:w="1375" w:type="dxa"/>
            <w:tcBorders>
              <w:top w:val="nil"/>
              <w:left w:val="single" w:sz="4" w:space="0" w:color="auto"/>
              <w:bottom w:val="nil"/>
              <w:right w:val="nil"/>
            </w:tcBorders>
            <w:shd w:val="clear" w:color="auto" w:fill="auto"/>
            <w:vAlign w:val="bottom"/>
          </w:tcPr>
          <w:p w14:paraId="03D2710A" w14:textId="38C5A6A2"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(2.1588)</w:t>
            </w:r>
          </w:p>
        </w:tc>
        <w:tc>
          <w:tcPr>
            <w:tcW w:w="1906" w:type="dxa"/>
            <w:tcBorders>
              <w:top w:val="nil"/>
              <w:left w:val="nil"/>
              <w:bottom w:val="nil"/>
              <w:right w:val="nil"/>
            </w:tcBorders>
            <w:vAlign w:val="bottom"/>
          </w:tcPr>
          <w:p w14:paraId="3B475158" w14:textId="65503694" w:rsidR="001F7717" w:rsidRPr="00365E19" w:rsidRDefault="001F7717" w:rsidP="001F7717">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(2.0786)</w:t>
            </w:r>
          </w:p>
        </w:tc>
      </w:tr>
      <w:tr w:rsidR="006B0D98" w:rsidRPr="00365E19" w14:paraId="23EABE45" w14:textId="77777777" w:rsidTr="001578CB">
        <w:trPr>
          <w:trHeight w:val="109"/>
        </w:trPr>
        <w:tc>
          <w:tcPr>
            <w:tcW w:w="4170" w:type="dxa"/>
            <w:tcBorders>
              <w:top w:val="nil"/>
              <w:left w:val="nil"/>
              <w:bottom w:val="nil"/>
              <w:right w:val="nil"/>
            </w:tcBorders>
            <w:shd w:val="clear" w:color="auto" w:fill="auto"/>
            <w:noWrap/>
            <w:vAlign w:val="bottom"/>
          </w:tcPr>
          <w:p w14:paraId="2AC317B1" w14:textId="77777777" w:rsidR="00281656" w:rsidRPr="00365E19" w:rsidRDefault="00281656" w:rsidP="00281656">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Constant</w:t>
            </w:r>
          </w:p>
        </w:tc>
        <w:tc>
          <w:tcPr>
            <w:tcW w:w="1439" w:type="dxa"/>
            <w:tcBorders>
              <w:top w:val="nil"/>
              <w:left w:val="nil"/>
              <w:bottom w:val="nil"/>
              <w:right w:val="nil"/>
            </w:tcBorders>
            <w:shd w:val="clear" w:color="auto" w:fill="auto"/>
            <w:noWrap/>
            <w:vAlign w:val="bottom"/>
          </w:tcPr>
          <w:p w14:paraId="1970AD95" w14:textId="2193AC6A"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-0.0586</w:t>
            </w:r>
          </w:p>
        </w:tc>
        <w:tc>
          <w:tcPr>
            <w:tcW w:w="1929" w:type="dxa"/>
            <w:tcBorders>
              <w:top w:val="nil"/>
              <w:left w:val="nil"/>
              <w:bottom w:val="nil"/>
              <w:right w:val="single" w:sz="4" w:space="0" w:color="auto"/>
            </w:tcBorders>
            <w:shd w:val="clear" w:color="auto" w:fill="auto"/>
            <w:noWrap/>
            <w:vAlign w:val="bottom"/>
          </w:tcPr>
          <w:p w14:paraId="12BFDD29" w14:textId="394A302E"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-0.0597</w:t>
            </w:r>
          </w:p>
        </w:tc>
        <w:tc>
          <w:tcPr>
            <w:tcW w:w="1272" w:type="dxa"/>
            <w:tcBorders>
              <w:top w:val="nil"/>
              <w:left w:val="single" w:sz="4" w:space="0" w:color="auto"/>
              <w:bottom w:val="nil"/>
              <w:right w:val="nil"/>
            </w:tcBorders>
            <w:shd w:val="clear" w:color="auto" w:fill="auto"/>
            <w:vAlign w:val="bottom"/>
          </w:tcPr>
          <w:p w14:paraId="659431ED" w14:textId="6E272E19"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0.1621**</w:t>
            </w:r>
          </w:p>
        </w:tc>
        <w:tc>
          <w:tcPr>
            <w:tcW w:w="1864" w:type="dxa"/>
            <w:tcBorders>
              <w:top w:val="nil"/>
              <w:left w:val="nil"/>
              <w:bottom w:val="nil"/>
              <w:right w:val="single" w:sz="4" w:space="0" w:color="auto"/>
            </w:tcBorders>
            <w:shd w:val="clear" w:color="auto" w:fill="auto"/>
            <w:noWrap/>
            <w:vAlign w:val="bottom"/>
          </w:tcPr>
          <w:p w14:paraId="014C4E9B" w14:textId="702069AB"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0.1553**</w:t>
            </w:r>
          </w:p>
        </w:tc>
        <w:tc>
          <w:tcPr>
            <w:tcW w:w="1375" w:type="dxa"/>
            <w:tcBorders>
              <w:top w:val="nil"/>
              <w:left w:val="single" w:sz="4" w:space="0" w:color="auto"/>
              <w:bottom w:val="nil"/>
              <w:right w:val="nil"/>
            </w:tcBorders>
            <w:shd w:val="clear" w:color="auto" w:fill="auto"/>
            <w:vAlign w:val="bottom"/>
          </w:tcPr>
          <w:p w14:paraId="67704D4C" w14:textId="2682B73D"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0.0666**</w:t>
            </w:r>
          </w:p>
        </w:tc>
        <w:tc>
          <w:tcPr>
            <w:tcW w:w="1906" w:type="dxa"/>
            <w:tcBorders>
              <w:top w:val="nil"/>
              <w:left w:val="nil"/>
              <w:bottom w:val="nil"/>
              <w:right w:val="nil"/>
            </w:tcBorders>
            <w:shd w:val="clear" w:color="auto" w:fill="auto"/>
            <w:vAlign w:val="bottom"/>
          </w:tcPr>
          <w:p w14:paraId="5A525744" w14:textId="7FBC6B35"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0.0639**</w:t>
            </w:r>
          </w:p>
        </w:tc>
      </w:tr>
      <w:tr w:rsidR="006B0D98" w:rsidRPr="00365E19" w14:paraId="12C3B080" w14:textId="77777777" w:rsidTr="001578CB">
        <w:trPr>
          <w:trHeight w:val="109"/>
        </w:trPr>
        <w:tc>
          <w:tcPr>
            <w:tcW w:w="4170" w:type="dxa"/>
            <w:tcBorders>
              <w:top w:val="nil"/>
              <w:left w:val="nil"/>
              <w:bottom w:val="nil"/>
              <w:right w:val="nil"/>
            </w:tcBorders>
            <w:shd w:val="clear" w:color="auto" w:fill="auto"/>
            <w:noWrap/>
            <w:vAlign w:val="bottom"/>
          </w:tcPr>
          <w:p w14:paraId="7F922C7D" w14:textId="77777777" w:rsidR="00281656" w:rsidRPr="00365E19" w:rsidRDefault="00281656" w:rsidP="00281656">
            <w:pPr>
              <w:spacing w:after="0" w:line="240" w:lineRule="auto"/>
              <w:rPr>
                <w:rFonts w:ascii="Times New Roman" w:eastAsia="Times New Roman" w:hAnsi="Times New Roman" w:cs="Times New Roman"/>
                <w:sz w:val="20"/>
                <w:szCs w:val="20"/>
                <w:lang w:eastAsia="en-NZ"/>
              </w:rPr>
            </w:pPr>
          </w:p>
        </w:tc>
        <w:tc>
          <w:tcPr>
            <w:tcW w:w="1439" w:type="dxa"/>
            <w:tcBorders>
              <w:top w:val="nil"/>
              <w:left w:val="nil"/>
              <w:bottom w:val="nil"/>
              <w:right w:val="nil"/>
            </w:tcBorders>
            <w:shd w:val="clear" w:color="auto" w:fill="auto"/>
            <w:noWrap/>
            <w:vAlign w:val="bottom"/>
          </w:tcPr>
          <w:p w14:paraId="25C1A5EE" w14:textId="7A69DE77"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(-1.3243)</w:t>
            </w:r>
          </w:p>
        </w:tc>
        <w:tc>
          <w:tcPr>
            <w:tcW w:w="1929" w:type="dxa"/>
            <w:tcBorders>
              <w:top w:val="nil"/>
              <w:left w:val="nil"/>
              <w:bottom w:val="nil"/>
              <w:right w:val="single" w:sz="4" w:space="0" w:color="auto"/>
            </w:tcBorders>
            <w:shd w:val="clear" w:color="auto" w:fill="auto"/>
            <w:noWrap/>
            <w:vAlign w:val="bottom"/>
          </w:tcPr>
          <w:p w14:paraId="1107724E" w14:textId="4A887224"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(-1.3393)</w:t>
            </w:r>
          </w:p>
        </w:tc>
        <w:tc>
          <w:tcPr>
            <w:tcW w:w="1272" w:type="dxa"/>
            <w:tcBorders>
              <w:top w:val="nil"/>
              <w:left w:val="single" w:sz="4" w:space="0" w:color="auto"/>
              <w:bottom w:val="nil"/>
              <w:right w:val="nil"/>
            </w:tcBorders>
            <w:shd w:val="clear" w:color="auto" w:fill="auto"/>
            <w:vAlign w:val="bottom"/>
          </w:tcPr>
          <w:p w14:paraId="65B8E1D1" w14:textId="6F8FB31B"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(2.3149)</w:t>
            </w:r>
          </w:p>
        </w:tc>
        <w:tc>
          <w:tcPr>
            <w:tcW w:w="1864" w:type="dxa"/>
            <w:tcBorders>
              <w:top w:val="nil"/>
              <w:left w:val="nil"/>
              <w:bottom w:val="nil"/>
              <w:right w:val="single" w:sz="4" w:space="0" w:color="auto"/>
            </w:tcBorders>
            <w:shd w:val="clear" w:color="auto" w:fill="auto"/>
            <w:noWrap/>
            <w:vAlign w:val="bottom"/>
          </w:tcPr>
          <w:p w14:paraId="00BBF3B5" w14:textId="76D6FF74"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(2.2233)</w:t>
            </w:r>
          </w:p>
        </w:tc>
        <w:tc>
          <w:tcPr>
            <w:tcW w:w="1375" w:type="dxa"/>
            <w:tcBorders>
              <w:top w:val="nil"/>
              <w:left w:val="single" w:sz="4" w:space="0" w:color="auto"/>
              <w:bottom w:val="nil"/>
              <w:right w:val="nil"/>
            </w:tcBorders>
            <w:shd w:val="clear" w:color="auto" w:fill="auto"/>
            <w:vAlign w:val="bottom"/>
          </w:tcPr>
          <w:p w14:paraId="458125FE" w14:textId="3112EDAB"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(2.1298)</w:t>
            </w:r>
          </w:p>
        </w:tc>
        <w:tc>
          <w:tcPr>
            <w:tcW w:w="1906" w:type="dxa"/>
            <w:tcBorders>
              <w:top w:val="nil"/>
              <w:left w:val="nil"/>
              <w:bottom w:val="nil"/>
              <w:right w:val="nil"/>
            </w:tcBorders>
            <w:shd w:val="clear" w:color="auto" w:fill="auto"/>
            <w:vAlign w:val="bottom"/>
          </w:tcPr>
          <w:p w14:paraId="069B66CE" w14:textId="3E347B95" w:rsidR="00281656" w:rsidRPr="00365E19" w:rsidRDefault="00281656" w:rsidP="00281656">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(2.0264)</w:t>
            </w:r>
          </w:p>
        </w:tc>
      </w:tr>
      <w:tr w:rsidR="006B0D98" w:rsidRPr="00365E19" w14:paraId="7B34A7DD" w14:textId="77777777" w:rsidTr="001578CB">
        <w:trPr>
          <w:trHeight w:val="109"/>
        </w:trPr>
        <w:tc>
          <w:tcPr>
            <w:tcW w:w="4170" w:type="dxa"/>
            <w:tcBorders>
              <w:top w:val="nil"/>
              <w:left w:val="nil"/>
              <w:bottom w:val="nil"/>
              <w:right w:val="nil"/>
            </w:tcBorders>
            <w:shd w:val="clear" w:color="auto" w:fill="auto"/>
            <w:noWrap/>
            <w:vAlign w:val="bottom"/>
          </w:tcPr>
          <w:p w14:paraId="7856D2CC" w14:textId="77777777" w:rsidR="00281656" w:rsidRPr="00365E19" w:rsidRDefault="00281656" w:rsidP="00281656">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RAM-AEM</w:t>
            </w:r>
          </w:p>
        </w:tc>
        <w:tc>
          <w:tcPr>
            <w:tcW w:w="1439" w:type="dxa"/>
            <w:tcBorders>
              <w:top w:val="nil"/>
              <w:left w:val="nil"/>
              <w:bottom w:val="nil"/>
              <w:right w:val="nil"/>
            </w:tcBorders>
            <w:shd w:val="clear" w:color="auto" w:fill="auto"/>
            <w:noWrap/>
            <w:vAlign w:val="bottom"/>
          </w:tcPr>
          <w:p w14:paraId="35E1D412" w14:textId="58128291" w:rsidR="00281656" w:rsidRPr="00365E19" w:rsidRDefault="00802955" w:rsidP="00281656">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-0.0281</w:t>
            </w:r>
          </w:p>
        </w:tc>
        <w:tc>
          <w:tcPr>
            <w:tcW w:w="1929" w:type="dxa"/>
            <w:tcBorders>
              <w:top w:val="nil"/>
              <w:left w:val="nil"/>
              <w:bottom w:val="nil"/>
              <w:right w:val="single" w:sz="4" w:space="0" w:color="auto"/>
            </w:tcBorders>
            <w:shd w:val="clear" w:color="auto" w:fill="auto"/>
            <w:vAlign w:val="bottom"/>
          </w:tcPr>
          <w:p w14:paraId="33918909" w14:textId="3110A07A"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tcPr>
          <w:p w14:paraId="7142F795" w14:textId="414C061A" w:rsidR="00281656" w:rsidRPr="00365E19" w:rsidRDefault="00912337"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-0.0372</w:t>
            </w:r>
            <w:r w:rsidR="00D21159">
              <w:rPr>
                <w:rFonts w:ascii="Times New Roman" w:hAnsi="Times New Roman" w:cs="Times New Roman"/>
                <w:color w:val="000000"/>
                <w:sz w:val="20"/>
                <w:szCs w:val="20"/>
              </w:rPr>
              <w:t xml:space="preserve"> </w:t>
            </w:r>
          </w:p>
        </w:tc>
        <w:tc>
          <w:tcPr>
            <w:tcW w:w="1864" w:type="dxa"/>
            <w:tcBorders>
              <w:top w:val="nil"/>
              <w:left w:val="nil"/>
              <w:bottom w:val="nil"/>
              <w:right w:val="single" w:sz="4" w:space="0" w:color="auto"/>
            </w:tcBorders>
            <w:shd w:val="clear" w:color="auto" w:fill="auto"/>
            <w:noWrap/>
            <w:vAlign w:val="bottom"/>
          </w:tcPr>
          <w:p w14:paraId="3120FCC0"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598D21B2" w14:textId="548C0EB2" w:rsidR="00281656" w:rsidRPr="00365E19" w:rsidRDefault="000153A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-0.0307</w:t>
            </w:r>
          </w:p>
        </w:tc>
        <w:tc>
          <w:tcPr>
            <w:tcW w:w="1906" w:type="dxa"/>
            <w:tcBorders>
              <w:top w:val="nil"/>
              <w:left w:val="nil"/>
              <w:bottom w:val="nil"/>
              <w:right w:val="nil"/>
            </w:tcBorders>
          </w:tcPr>
          <w:p w14:paraId="1652A29A"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r>
      <w:tr w:rsidR="006B0D98" w:rsidRPr="00365E19" w14:paraId="34189BF6" w14:textId="77777777" w:rsidTr="001578CB">
        <w:trPr>
          <w:trHeight w:val="109"/>
        </w:trPr>
        <w:tc>
          <w:tcPr>
            <w:tcW w:w="4170" w:type="dxa"/>
            <w:tcBorders>
              <w:top w:val="nil"/>
              <w:left w:val="nil"/>
              <w:bottom w:val="nil"/>
              <w:right w:val="nil"/>
            </w:tcBorders>
            <w:shd w:val="clear" w:color="auto" w:fill="auto"/>
            <w:noWrap/>
            <w:vAlign w:val="bottom"/>
          </w:tcPr>
          <w:p w14:paraId="2E18B2C9" w14:textId="77777777" w:rsidR="00281656" w:rsidRPr="00365E19" w:rsidRDefault="00281656" w:rsidP="00281656">
            <w:pPr>
              <w:spacing w:after="0" w:line="240" w:lineRule="auto"/>
              <w:rPr>
                <w:rFonts w:ascii="Times New Roman" w:eastAsia="Times New Roman" w:hAnsi="Times New Roman" w:cs="Times New Roman"/>
                <w:sz w:val="20"/>
                <w:szCs w:val="20"/>
                <w:lang w:eastAsia="en-NZ"/>
              </w:rPr>
            </w:pPr>
            <w:r w:rsidRPr="00365E19">
              <w:rPr>
                <w:rFonts w:ascii="Times New Roman" w:hAnsi="Times New Roman" w:cs="Times New Roman"/>
                <w:i/>
                <w:iCs/>
                <w:color w:val="000000"/>
                <w:sz w:val="20"/>
                <w:szCs w:val="20"/>
              </w:rPr>
              <w:t>(F-statistics)</w:t>
            </w:r>
          </w:p>
        </w:tc>
        <w:tc>
          <w:tcPr>
            <w:tcW w:w="1439" w:type="dxa"/>
            <w:tcBorders>
              <w:top w:val="nil"/>
              <w:left w:val="nil"/>
              <w:bottom w:val="nil"/>
              <w:right w:val="nil"/>
            </w:tcBorders>
            <w:shd w:val="clear" w:color="auto" w:fill="auto"/>
            <w:noWrap/>
            <w:vAlign w:val="bottom"/>
          </w:tcPr>
          <w:p w14:paraId="048F9946" w14:textId="0DFA6736" w:rsidR="00281656" w:rsidRPr="00365E19" w:rsidRDefault="00F64AEF" w:rsidP="00281656">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[1.23]</w:t>
            </w:r>
          </w:p>
        </w:tc>
        <w:tc>
          <w:tcPr>
            <w:tcW w:w="1929" w:type="dxa"/>
            <w:tcBorders>
              <w:top w:val="nil"/>
              <w:left w:val="nil"/>
              <w:bottom w:val="nil"/>
              <w:right w:val="single" w:sz="4" w:space="0" w:color="auto"/>
            </w:tcBorders>
            <w:shd w:val="clear" w:color="auto" w:fill="auto"/>
            <w:vAlign w:val="bottom"/>
          </w:tcPr>
          <w:p w14:paraId="13F7B427" w14:textId="725B2F04"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tcPr>
          <w:p w14:paraId="20C6E59B" w14:textId="448FC26C" w:rsidR="00281656" w:rsidRPr="00365E19" w:rsidRDefault="007A337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864" w:type="dxa"/>
            <w:tcBorders>
              <w:top w:val="nil"/>
              <w:left w:val="nil"/>
              <w:bottom w:val="nil"/>
              <w:right w:val="single" w:sz="4" w:space="0" w:color="auto"/>
            </w:tcBorders>
            <w:shd w:val="clear" w:color="auto" w:fill="auto"/>
            <w:noWrap/>
            <w:vAlign w:val="bottom"/>
          </w:tcPr>
          <w:p w14:paraId="09632FF2"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3D331914" w14:textId="2CEEEB08" w:rsidR="00281656" w:rsidRPr="00365E19" w:rsidRDefault="00F06BA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1906" w:type="dxa"/>
            <w:tcBorders>
              <w:top w:val="nil"/>
              <w:left w:val="nil"/>
              <w:bottom w:val="nil"/>
              <w:right w:val="nil"/>
            </w:tcBorders>
          </w:tcPr>
          <w:p w14:paraId="6C55D6A6"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r>
      <w:tr w:rsidR="006B0D98" w:rsidRPr="00365E19" w14:paraId="6A5EAF23" w14:textId="77777777" w:rsidTr="001578CB">
        <w:trPr>
          <w:trHeight w:val="109"/>
        </w:trPr>
        <w:tc>
          <w:tcPr>
            <w:tcW w:w="4170" w:type="dxa"/>
            <w:tcBorders>
              <w:top w:val="nil"/>
              <w:left w:val="nil"/>
              <w:bottom w:val="nil"/>
              <w:right w:val="nil"/>
            </w:tcBorders>
            <w:shd w:val="clear" w:color="auto" w:fill="auto"/>
            <w:noWrap/>
            <w:vAlign w:val="bottom"/>
          </w:tcPr>
          <w:p w14:paraId="28DBEACC" w14:textId="66CF78B1" w:rsidR="00281656" w:rsidRPr="00365E19" w:rsidRDefault="00281656" w:rsidP="00281656">
            <w:pPr>
              <w:spacing w:after="0" w:line="240" w:lineRule="auto"/>
              <w:rPr>
                <w:rFonts w:ascii="Times New Roman" w:hAnsi="Times New Roman" w:cs="Times New Roman"/>
                <w:i/>
                <w:iCs/>
                <w:color w:val="000000"/>
                <w:sz w:val="20"/>
                <w:szCs w:val="20"/>
              </w:rPr>
            </w:pPr>
            <w:r w:rsidRPr="001578CB">
              <w:rPr>
                <w:rFonts w:ascii="Times New Roman" w:eastAsia="Times New Roman" w:hAnsi="Times New Roman" w:cs="Times New Roman"/>
                <w:sz w:val="20"/>
                <w:szCs w:val="20"/>
                <w:lang w:eastAsia="en-NZ"/>
              </w:rPr>
              <w:t>RAM*LAW-AEM*LAW</w:t>
            </w:r>
          </w:p>
        </w:tc>
        <w:tc>
          <w:tcPr>
            <w:tcW w:w="1439" w:type="dxa"/>
            <w:tcBorders>
              <w:top w:val="nil"/>
              <w:left w:val="nil"/>
              <w:bottom w:val="nil"/>
              <w:right w:val="nil"/>
            </w:tcBorders>
            <w:shd w:val="clear" w:color="auto" w:fill="auto"/>
            <w:noWrap/>
            <w:vAlign w:val="bottom"/>
          </w:tcPr>
          <w:p w14:paraId="17CB6662" w14:textId="654432E6" w:rsidR="00281656" w:rsidRPr="00365E19" w:rsidRDefault="00802955" w:rsidP="00281656">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-0.0047</w:t>
            </w:r>
            <w:r w:rsidR="00AC00AA">
              <w:rPr>
                <w:rFonts w:ascii="Times New Roman" w:eastAsia="Times New Roman" w:hAnsi="Times New Roman" w:cs="Times New Roman"/>
                <w:sz w:val="20"/>
                <w:szCs w:val="20"/>
                <w:lang w:eastAsia="en-NZ"/>
              </w:rPr>
              <w:t>*</w:t>
            </w:r>
          </w:p>
        </w:tc>
        <w:tc>
          <w:tcPr>
            <w:tcW w:w="1929" w:type="dxa"/>
            <w:tcBorders>
              <w:top w:val="nil"/>
              <w:left w:val="nil"/>
              <w:bottom w:val="nil"/>
              <w:right w:val="single" w:sz="4" w:space="0" w:color="auto"/>
            </w:tcBorders>
            <w:shd w:val="clear" w:color="auto" w:fill="auto"/>
            <w:vAlign w:val="bottom"/>
          </w:tcPr>
          <w:p w14:paraId="71238202" w14:textId="77777777"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tcPr>
          <w:p w14:paraId="7A3F80B5" w14:textId="30EE18D2" w:rsidR="00281656" w:rsidRPr="00365E19" w:rsidRDefault="0052630E"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-0.0064</w:t>
            </w:r>
          </w:p>
        </w:tc>
        <w:tc>
          <w:tcPr>
            <w:tcW w:w="1864" w:type="dxa"/>
            <w:tcBorders>
              <w:top w:val="nil"/>
              <w:left w:val="nil"/>
              <w:bottom w:val="nil"/>
              <w:right w:val="single" w:sz="4" w:space="0" w:color="auto"/>
            </w:tcBorders>
            <w:shd w:val="clear" w:color="auto" w:fill="auto"/>
            <w:noWrap/>
            <w:vAlign w:val="bottom"/>
          </w:tcPr>
          <w:p w14:paraId="713994DD"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4910DEE4" w14:textId="734D02BB" w:rsidR="00281656" w:rsidRPr="00365E19" w:rsidRDefault="00585766"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-0.0204</w:t>
            </w:r>
            <w:r w:rsidR="00F06BAC">
              <w:rPr>
                <w:rFonts w:ascii="Times New Roman" w:hAnsi="Times New Roman" w:cs="Times New Roman"/>
                <w:color w:val="000000"/>
                <w:sz w:val="20"/>
                <w:szCs w:val="20"/>
              </w:rPr>
              <w:t>***</w:t>
            </w:r>
          </w:p>
        </w:tc>
        <w:tc>
          <w:tcPr>
            <w:tcW w:w="1906" w:type="dxa"/>
            <w:tcBorders>
              <w:top w:val="nil"/>
              <w:left w:val="nil"/>
              <w:bottom w:val="nil"/>
              <w:right w:val="nil"/>
            </w:tcBorders>
          </w:tcPr>
          <w:p w14:paraId="2743AD5E"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r>
      <w:tr w:rsidR="006B0D98" w:rsidRPr="00365E19" w14:paraId="674096A0" w14:textId="77777777" w:rsidTr="001578CB">
        <w:trPr>
          <w:trHeight w:val="109"/>
        </w:trPr>
        <w:tc>
          <w:tcPr>
            <w:tcW w:w="4170" w:type="dxa"/>
            <w:tcBorders>
              <w:top w:val="nil"/>
              <w:left w:val="nil"/>
              <w:bottom w:val="nil"/>
              <w:right w:val="nil"/>
            </w:tcBorders>
            <w:shd w:val="clear" w:color="auto" w:fill="auto"/>
            <w:noWrap/>
            <w:vAlign w:val="bottom"/>
          </w:tcPr>
          <w:p w14:paraId="008FA1C1" w14:textId="40561A88" w:rsidR="00281656" w:rsidRPr="00365E19" w:rsidRDefault="00281656" w:rsidP="00281656">
            <w:pPr>
              <w:spacing w:after="0" w:line="240" w:lineRule="auto"/>
              <w:rPr>
                <w:rFonts w:ascii="Times New Roman" w:hAnsi="Times New Roman" w:cs="Times New Roman"/>
                <w:i/>
                <w:iCs/>
                <w:color w:val="000000"/>
                <w:sz w:val="20"/>
                <w:szCs w:val="20"/>
              </w:rPr>
            </w:pPr>
            <w:r w:rsidRPr="001578CB">
              <w:rPr>
                <w:rFonts w:ascii="Times New Roman" w:eastAsia="Times New Roman" w:hAnsi="Times New Roman" w:cs="Times New Roman"/>
                <w:i/>
                <w:iCs/>
                <w:sz w:val="20"/>
                <w:szCs w:val="20"/>
                <w:lang w:eastAsia="en-NZ"/>
              </w:rPr>
              <w:t>(F-statistics)</w:t>
            </w:r>
          </w:p>
        </w:tc>
        <w:tc>
          <w:tcPr>
            <w:tcW w:w="1439" w:type="dxa"/>
            <w:tcBorders>
              <w:top w:val="nil"/>
              <w:left w:val="nil"/>
              <w:bottom w:val="nil"/>
              <w:right w:val="nil"/>
            </w:tcBorders>
            <w:shd w:val="clear" w:color="auto" w:fill="auto"/>
            <w:noWrap/>
            <w:vAlign w:val="bottom"/>
          </w:tcPr>
          <w:p w14:paraId="213D1134" w14:textId="5EE1B10B" w:rsidR="00281656" w:rsidRPr="00365E19" w:rsidRDefault="00AC00AA" w:rsidP="00281656">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[3.35]</w:t>
            </w:r>
          </w:p>
        </w:tc>
        <w:tc>
          <w:tcPr>
            <w:tcW w:w="1929" w:type="dxa"/>
            <w:tcBorders>
              <w:top w:val="nil"/>
              <w:left w:val="nil"/>
              <w:bottom w:val="nil"/>
              <w:right w:val="single" w:sz="4" w:space="0" w:color="auto"/>
            </w:tcBorders>
            <w:shd w:val="clear" w:color="auto" w:fill="auto"/>
            <w:vAlign w:val="bottom"/>
          </w:tcPr>
          <w:p w14:paraId="3EC9B230" w14:textId="77777777"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tcPr>
          <w:p w14:paraId="5AC5A68D" w14:textId="449C2964" w:rsidR="00281656" w:rsidRPr="00365E19" w:rsidRDefault="007A337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1864" w:type="dxa"/>
            <w:tcBorders>
              <w:top w:val="nil"/>
              <w:left w:val="nil"/>
              <w:bottom w:val="nil"/>
              <w:right w:val="single" w:sz="4" w:space="0" w:color="auto"/>
            </w:tcBorders>
            <w:shd w:val="clear" w:color="auto" w:fill="auto"/>
            <w:noWrap/>
            <w:vAlign w:val="bottom"/>
          </w:tcPr>
          <w:p w14:paraId="6B935FEA"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0FD3750B" w14:textId="1FBAD4B7" w:rsidR="00281656" w:rsidRPr="00365E19" w:rsidRDefault="00F06BA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906" w:type="dxa"/>
            <w:tcBorders>
              <w:top w:val="nil"/>
              <w:left w:val="nil"/>
              <w:bottom w:val="nil"/>
              <w:right w:val="nil"/>
            </w:tcBorders>
          </w:tcPr>
          <w:p w14:paraId="3E3DE32A"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r>
      <w:tr w:rsidR="006B0D98" w:rsidRPr="00365E19" w14:paraId="18ADF32D" w14:textId="77777777" w:rsidTr="001578CB">
        <w:trPr>
          <w:trHeight w:val="109"/>
        </w:trPr>
        <w:tc>
          <w:tcPr>
            <w:tcW w:w="4170" w:type="dxa"/>
            <w:tcBorders>
              <w:top w:val="nil"/>
              <w:left w:val="nil"/>
              <w:bottom w:val="nil"/>
              <w:right w:val="nil"/>
            </w:tcBorders>
            <w:shd w:val="clear" w:color="auto" w:fill="auto"/>
            <w:noWrap/>
            <w:vAlign w:val="bottom"/>
          </w:tcPr>
          <w:p w14:paraId="622333EC" w14:textId="4244B364" w:rsidR="00281656" w:rsidRPr="00365E19" w:rsidRDefault="00281656" w:rsidP="00281656">
            <w:pPr>
              <w:spacing w:after="0" w:line="240" w:lineRule="auto"/>
              <w:rPr>
                <w:rFonts w:ascii="Times New Roman" w:hAnsi="Times New Roman" w:cs="Times New Roman"/>
                <w:i/>
                <w:iCs/>
                <w:color w:val="000000"/>
                <w:sz w:val="20"/>
                <w:szCs w:val="20"/>
              </w:rPr>
            </w:pPr>
            <w:r w:rsidRPr="001578CB">
              <w:rPr>
                <w:rFonts w:ascii="Times New Roman" w:hAnsi="Times New Roman" w:cs="Times New Roman"/>
                <w:color w:val="000000"/>
                <w:sz w:val="20"/>
                <w:szCs w:val="20"/>
              </w:rPr>
              <w:t>[RAM+RAM*LAW]-[AEM+AEM*LAW]</w:t>
            </w:r>
          </w:p>
        </w:tc>
        <w:tc>
          <w:tcPr>
            <w:tcW w:w="1439" w:type="dxa"/>
            <w:tcBorders>
              <w:top w:val="nil"/>
              <w:left w:val="nil"/>
              <w:bottom w:val="nil"/>
              <w:right w:val="nil"/>
            </w:tcBorders>
            <w:shd w:val="clear" w:color="auto" w:fill="auto"/>
            <w:noWrap/>
            <w:vAlign w:val="bottom"/>
          </w:tcPr>
          <w:p w14:paraId="7B8BE11D" w14:textId="627BA121" w:rsidR="00281656" w:rsidRPr="00365E19" w:rsidRDefault="00A100A3" w:rsidP="00281656">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-0.0328</w:t>
            </w:r>
          </w:p>
        </w:tc>
        <w:tc>
          <w:tcPr>
            <w:tcW w:w="1929" w:type="dxa"/>
            <w:tcBorders>
              <w:top w:val="nil"/>
              <w:left w:val="nil"/>
              <w:bottom w:val="nil"/>
              <w:right w:val="single" w:sz="4" w:space="0" w:color="auto"/>
            </w:tcBorders>
            <w:shd w:val="clear" w:color="auto" w:fill="auto"/>
            <w:vAlign w:val="bottom"/>
          </w:tcPr>
          <w:p w14:paraId="40480375" w14:textId="77777777"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tcPr>
          <w:p w14:paraId="25B964F7" w14:textId="7B438E05" w:rsidR="00281656" w:rsidRPr="00365E19" w:rsidRDefault="009C7C85"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-0.0436</w:t>
            </w:r>
          </w:p>
        </w:tc>
        <w:tc>
          <w:tcPr>
            <w:tcW w:w="1864" w:type="dxa"/>
            <w:tcBorders>
              <w:top w:val="nil"/>
              <w:left w:val="nil"/>
              <w:bottom w:val="nil"/>
              <w:right w:val="single" w:sz="4" w:space="0" w:color="auto"/>
            </w:tcBorders>
            <w:shd w:val="clear" w:color="auto" w:fill="auto"/>
            <w:noWrap/>
            <w:vAlign w:val="bottom"/>
          </w:tcPr>
          <w:p w14:paraId="546319D1"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78E248B4" w14:textId="321B5036" w:rsidR="00281656" w:rsidRPr="00365E19" w:rsidRDefault="00D058F7"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-0.0511</w:t>
            </w:r>
            <w:r w:rsidR="00F06BAC">
              <w:rPr>
                <w:rFonts w:ascii="Times New Roman" w:hAnsi="Times New Roman" w:cs="Times New Roman"/>
                <w:color w:val="000000"/>
                <w:sz w:val="20"/>
                <w:szCs w:val="20"/>
              </w:rPr>
              <w:t>***</w:t>
            </w:r>
          </w:p>
        </w:tc>
        <w:tc>
          <w:tcPr>
            <w:tcW w:w="1906" w:type="dxa"/>
            <w:tcBorders>
              <w:top w:val="nil"/>
              <w:left w:val="nil"/>
              <w:bottom w:val="nil"/>
              <w:right w:val="nil"/>
            </w:tcBorders>
          </w:tcPr>
          <w:p w14:paraId="1C0C232B"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r>
      <w:tr w:rsidR="006B0D98" w:rsidRPr="00365E19" w14:paraId="192C03BE" w14:textId="77777777" w:rsidTr="001578CB">
        <w:trPr>
          <w:trHeight w:val="109"/>
        </w:trPr>
        <w:tc>
          <w:tcPr>
            <w:tcW w:w="4170" w:type="dxa"/>
            <w:tcBorders>
              <w:top w:val="nil"/>
              <w:left w:val="nil"/>
              <w:bottom w:val="nil"/>
              <w:right w:val="nil"/>
            </w:tcBorders>
            <w:shd w:val="clear" w:color="auto" w:fill="auto"/>
            <w:noWrap/>
            <w:vAlign w:val="bottom"/>
          </w:tcPr>
          <w:p w14:paraId="1049C776" w14:textId="60A2D0F4" w:rsidR="00281656" w:rsidRPr="00365E19" w:rsidRDefault="00281656" w:rsidP="00281656">
            <w:pPr>
              <w:spacing w:after="0" w:line="240" w:lineRule="auto"/>
              <w:rPr>
                <w:rFonts w:ascii="Times New Roman" w:hAnsi="Times New Roman" w:cs="Times New Roman"/>
                <w:i/>
                <w:iCs/>
                <w:color w:val="000000"/>
                <w:sz w:val="20"/>
                <w:szCs w:val="20"/>
              </w:rPr>
            </w:pPr>
            <w:r w:rsidRPr="001578CB">
              <w:rPr>
                <w:rFonts w:ascii="Times New Roman" w:eastAsia="Times New Roman" w:hAnsi="Times New Roman" w:cs="Times New Roman"/>
                <w:i/>
                <w:iCs/>
                <w:sz w:val="20"/>
                <w:szCs w:val="20"/>
                <w:lang w:eastAsia="en-NZ"/>
              </w:rPr>
              <w:t>(F-statistics)</w:t>
            </w:r>
          </w:p>
        </w:tc>
        <w:tc>
          <w:tcPr>
            <w:tcW w:w="1439" w:type="dxa"/>
            <w:tcBorders>
              <w:top w:val="nil"/>
              <w:left w:val="nil"/>
              <w:bottom w:val="nil"/>
              <w:right w:val="nil"/>
            </w:tcBorders>
            <w:shd w:val="clear" w:color="auto" w:fill="auto"/>
            <w:noWrap/>
            <w:vAlign w:val="bottom"/>
          </w:tcPr>
          <w:p w14:paraId="7975B415" w14:textId="7CD2D698" w:rsidR="00281656" w:rsidRPr="00365E19" w:rsidRDefault="00AC00AA" w:rsidP="00281656">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[2.20]</w:t>
            </w:r>
          </w:p>
        </w:tc>
        <w:tc>
          <w:tcPr>
            <w:tcW w:w="1929" w:type="dxa"/>
            <w:tcBorders>
              <w:top w:val="nil"/>
              <w:left w:val="nil"/>
              <w:bottom w:val="nil"/>
              <w:right w:val="single" w:sz="4" w:space="0" w:color="auto"/>
            </w:tcBorders>
            <w:shd w:val="clear" w:color="auto" w:fill="auto"/>
            <w:vAlign w:val="bottom"/>
          </w:tcPr>
          <w:p w14:paraId="338A8F01" w14:textId="77777777" w:rsidR="00281656" w:rsidRPr="00365E19" w:rsidRDefault="00281656" w:rsidP="00281656">
            <w:pPr>
              <w:spacing w:after="0" w:line="240" w:lineRule="auto"/>
              <w:jc w:val="center"/>
              <w:rPr>
                <w:rFonts w:ascii="Times New Roman" w:eastAsia="Times New Roman" w:hAnsi="Times New Roman" w:cs="Times New Roman"/>
                <w:sz w:val="20"/>
                <w:szCs w:val="20"/>
                <w:lang w:eastAsia="en-NZ"/>
              </w:rPr>
            </w:pPr>
          </w:p>
        </w:tc>
        <w:tc>
          <w:tcPr>
            <w:tcW w:w="1272" w:type="dxa"/>
            <w:tcBorders>
              <w:top w:val="nil"/>
              <w:left w:val="single" w:sz="4" w:space="0" w:color="auto"/>
              <w:bottom w:val="nil"/>
              <w:right w:val="nil"/>
            </w:tcBorders>
          </w:tcPr>
          <w:p w14:paraId="659CD920" w14:textId="7DA49ED6" w:rsidR="00281656" w:rsidRPr="00365E19" w:rsidRDefault="007A337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1864" w:type="dxa"/>
            <w:tcBorders>
              <w:top w:val="nil"/>
              <w:left w:val="nil"/>
              <w:bottom w:val="nil"/>
              <w:right w:val="single" w:sz="4" w:space="0" w:color="auto"/>
            </w:tcBorders>
            <w:shd w:val="clear" w:color="auto" w:fill="auto"/>
            <w:noWrap/>
            <w:vAlign w:val="bottom"/>
          </w:tcPr>
          <w:p w14:paraId="4D429091"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c>
          <w:tcPr>
            <w:tcW w:w="1375" w:type="dxa"/>
            <w:tcBorders>
              <w:top w:val="nil"/>
              <w:left w:val="single" w:sz="4" w:space="0" w:color="auto"/>
              <w:bottom w:val="nil"/>
              <w:right w:val="nil"/>
            </w:tcBorders>
            <w:shd w:val="clear" w:color="auto" w:fill="auto"/>
            <w:vAlign w:val="bottom"/>
          </w:tcPr>
          <w:p w14:paraId="0DB0F2C1" w14:textId="3AEB0962" w:rsidR="00281656" w:rsidRPr="00365E19" w:rsidRDefault="00F06BAC" w:rsidP="002816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[25.33]</w:t>
            </w:r>
          </w:p>
        </w:tc>
        <w:tc>
          <w:tcPr>
            <w:tcW w:w="1906" w:type="dxa"/>
            <w:tcBorders>
              <w:top w:val="nil"/>
              <w:left w:val="nil"/>
              <w:bottom w:val="nil"/>
              <w:right w:val="nil"/>
            </w:tcBorders>
          </w:tcPr>
          <w:p w14:paraId="585D950D" w14:textId="77777777" w:rsidR="00281656" w:rsidRPr="00365E19" w:rsidRDefault="00281656" w:rsidP="00281656">
            <w:pPr>
              <w:spacing w:after="0" w:line="240" w:lineRule="auto"/>
              <w:jc w:val="center"/>
              <w:rPr>
                <w:rFonts w:ascii="Times New Roman" w:hAnsi="Times New Roman" w:cs="Times New Roman"/>
                <w:color w:val="000000"/>
                <w:sz w:val="20"/>
                <w:szCs w:val="20"/>
              </w:rPr>
            </w:pPr>
          </w:p>
        </w:tc>
      </w:tr>
      <w:tr w:rsidR="006B0D98" w:rsidRPr="00365E19" w14:paraId="4D75B5DF" w14:textId="77777777" w:rsidTr="001578CB">
        <w:trPr>
          <w:trHeight w:val="109"/>
        </w:trPr>
        <w:tc>
          <w:tcPr>
            <w:tcW w:w="4170" w:type="dxa"/>
            <w:tcBorders>
              <w:top w:val="nil"/>
              <w:left w:val="nil"/>
              <w:bottom w:val="nil"/>
              <w:right w:val="nil"/>
            </w:tcBorders>
            <w:shd w:val="clear" w:color="auto" w:fill="auto"/>
            <w:noWrap/>
            <w:vAlign w:val="bottom"/>
          </w:tcPr>
          <w:p w14:paraId="2F23F75F" w14:textId="77777777" w:rsidR="002D7289" w:rsidRPr="00365E19" w:rsidRDefault="002D7289" w:rsidP="002D7289">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Controls</w:t>
            </w:r>
          </w:p>
        </w:tc>
        <w:tc>
          <w:tcPr>
            <w:tcW w:w="1439" w:type="dxa"/>
            <w:tcBorders>
              <w:top w:val="nil"/>
              <w:left w:val="nil"/>
              <w:bottom w:val="nil"/>
              <w:right w:val="nil"/>
            </w:tcBorders>
            <w:shd w:val="clear" w:color="auto" w:fill="auto"/>
            <w:noWrap/>
          </w:tcPr>
          <w:p w14:paraId="11D5CA89"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929" w:type="dxa"/>
            <w:tcBorders>
              <w:top w:val="nil"/>
              <w:left w:val="nil"/>
              <w:bottom w:val="nil"/>
              <w:right w:val="single" w:sz="4" w:space="0" w:color="auto"/>
            </w:tcBorders>
            <w:shd w:val="clear" w:color="auto" w:fill="auto"/>
          </w:tcPr>
          <w:p w14:paraId="51C7A723"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272" w:type="dxa"/>
            <w:tcBorders>
              <w:top w:val="nil"/>
              <w:left w:val="single" w:sz="4" w:space="0" w:color="auto"/>
              <w:bottom w:val="nil"/>
              <w:right w:val="nil"/>
            </w:tcBorders>
          </w:tcPr>
          <w:p w14:paraId="7363BA7C" w14:textId="597E8C04" w:rsidR="002D7289" w:rsidRPr="00365E19" w:rsidRDefault="002D7289" w:rsidP="002D7289">
            <w:pPr>
              <w:spacing w:after="0" w:line="240" w:lineRule="auto"/>
              <w:jc w:val="center"/>
              <w:rPr>
                <w:rFonts w:ascii="Times New Roman" w:hAnsi="Times New Roman" w:cs="Times New Roman"/>
                <w:color w:val="000000"/>
                <w:sz w:val="20"/>
                <w:szCs w:val="20"/>
              </w:rPr>
            </w:pPr>
            <w:r w:rsidRPr="000D5A47">
              <w:rPr>
                <w:rFonts w:ascii="Times New Roman" w:eastAsia="Times New Roman" w:hAnsi="Times New Roman" w:cs="Times New Roman"/>
                <w:sz w:val="20"/>
                <w:szCs w:val="20"/>
                <w:lang w:eastAsia="en-NZ"/>
              </w:rPr>
              <w:t>Yes</w:t>
            </w:r>
          </w:p>
        </w:tc>
        <w:tc>
          <w:tcPr>
            <w:tcW w:w="1864" w:type="dxa"/>
            <w:tcBorders>
              <w:top w:val="nil"/>
              <w:left w:val="nil"/>
              <w:bottom w:val="nil"/>
              <w:right w:val="single" w:sz="4" w:space="0" w:color="auto"/>
            </w:tcBorders>
            <w:shd w:val="clear" w:color="auto" w:fill="auto"/>
            <w:noWrap/>
          </w:tcPr>
          <w:p w14:paraId="53F61FE8" w14:textId="77777777" w:rsidR="002D7289" w:rsidRPr="00365E19" w:rsidRDefault="002D7289" w:rsidP="002D7289">
            <w:pPr>
              <w:spacing w:after="0" w:line="240" w:lineRule="auto"/>
              <w:jc w:val="center"/>
              <w:rPr>
                <w:rFonts w:ascii="Times New Roman" w:hAnsi="Times New Roman" w:cs="Times New Roman"/>
                <w:color w:val="000000"/>
                <w:sz w:val="20"/>
                <w:szCs w:val="20"/>
              </w:rPr>
            </w:pPr>
            <w:r w:rsidRPr="00365E19">
              <w:rPr>
                <w:rFonts w:ascii="Times New Roman" w:eastAsia="Times New Roman" w:hAnsi="Times New Roman" w:cs="Times New Roman"/>
                <w:sz w:val="20"/>
                <w:szCs w:val="20"/>
                <w:lang w:eastAsia="en-NZ"/>
              </w:rPr>
              <w:t>Yes</w:t>
            </w:r>
          </w:p>
        </w:tc>
        <w:tc>
          <w:tcPr>
            <w:tcW w:w="1375" w:type="dxa"/>
            <w:tcBorders>
              <w:top w:val="nil"/>
              <w:left w:val="single" w:sz="4" w:space="0" w:color="auto"/>
              <w:bottom w:val="nil"/>
              <w:right w:val="nil"/>
            </w:tcBorders>
            <w:shd w:val="clear" w:color="auto" w:fill="auto"/>
          </w:tcPr>
          <w:p w14:paraId="2432E0AC" w14:textId="77777777" w:rsidR="002D7289" w:rsidRPr="00365E19" w:rsidRDefault="002D7289" w:rsidP="002D7289">
            <w:pPr>
              <w:spacing w:after="0" w:line="240" w:lineRule="auto"/>
              <w:jc w:val="center"/>
              <w:rPr>
                <w:rFonts w:ascii="Times New Roman" w:hAnsi="Times New Roman" w:cs="Times New Roman"/>
                <w:color w:val="000000"/>
                <w:sz w:val="20"/>
                <w:szCs w:val="20"/>
              </w:rPr>
            </w:pPr>
            <w:r w:rsidRPr="00365E19">
              <w:rPr>
                <w:rFonts w:ascii="Times New Roman" w:eastAsia="Times New Roman" w:hAnsi="Times New Roman" w:cs="Times New Roman"/>
                <w:sz w:val="20"/>
                <w:szCs w:val="20"/>
                <w:lang w:eastAsia="en-NZ"/>
              </w:rPr>
              <w:t>Yes</w:t>
            </w:r>
          </w:p>
        </w:tc>
        <w:tc>
          <w:tcPr>
            <w:tcW w:w="1906" w:type="dxa"/>
            <w:tcBorders>
              <w:top w:val="nil"/>
              <w:left w:val="nil"/>
              <w:bottom w:val="nil"/>
              <w:right w:val="nil"/>
            </w:tcBorders>
          </w:tcPr>
          <w:p w14:paraId="4EE1F4B5" w14:textId="0E400201" w:rsidR="002D7289" w:rsidRPr="00365E19" w:rsidRDefault="002D7289" w:rsidP="002D7289">
            <w:pPr>
              <w:spacing w:after="0" w:line="240" w:lineRule="auto"/>
              <w:jc w:val="center"/>
              <w:rPr>
                <w:rFonts w:ascii="Times New Roman" w:hAnsi="Times New Roman" w:cs="Times New Roman"/>
                <w:color w:val="000000"/>
                <w:sz w:val="20"/>
                <w:szCs w:val="20"/>
              </w:rPr>
            </w:pPr>
            <w:r w:rsidRPr="000D5A47">
              <w:rPr>
                <w:rFonts w:ascii="Times New Roman" w:eastAsia="Times New Roman" w:hAnsi="Times New Roman" w:cs="Times New Roman"/>
                <w:sz w:val="20"/>
                <w:szCs w:val="20"/>
                <w:lang w:eastAsia="en-NZ"/>
              </w:rPr>
              <w:t>Yes</w:t>
            </w:r>
          </w:p>
        </w:tc>
      </w:tr>
      <w:tr w:rsidR="006B0D98" w:rsidRPr="00365E19" w14:paraId="6CB247B7" w14:textId="77777777" w:rsidTr="001578CB">
        <w:trPr>
          <w:trHeight w:val="109"/>
        </w:trPr>
        <w:tc>
          <w:tcPr>
            <w:tcW w:w="4170" w:type="dxa"/>
            <w:tcBorders>
              <w:top w:val="nil"/>
              <w:left w:val="nil"/>
              <w:bottom w:val="nil"/>
              <w:right w:val="nil"/>
            </w:tcBorders>
            <w:shd w:val="clear" w:color="auto" w:fill="auto"/>
            <w:noWrap/>
            <w:vAlign w:val="bottom"/>
            <w:hideMark/>
          </w:tcPr>
          <w:p w14:paraId="37CEF7FD" w14:textId="77777777" w:rsidR="002D7289" w:rsidRPr="00365E19" w:rsidRDefault="002D7289" w:rsidP="002D7289">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Industry FE</w:t>
            </w:r>
          </w:p>
        </w:tc>
        <w:tc>
          <w:tcPr>
            <w:tcW w:w="1439" w:type="dxa"/>
            <w:tcBorders>
              <w:top w:val="nil"/>
              <w:left w:val="nil"/>
              <w:bottom w:val="nil"/>
              <w:right w:val="nil"/>
            </w:tcBorders>
            <w:shd w:val="clear" w:color="auto" w:fill="auto"/>
            <w:noWrap/>
            <w:vAlign w:val="bottom"/>
            <w:hideMark/>
          </w:tcPr>
          <w:p w14:paraId="1A0C85CC"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929" w:type="dxa"/>
            <w:tcBorders>
              <w:top w:val="nil"/>
              <w:left w:val="nil"/>
              <w:bottom w:val="nil"/>
              <w:right w:val="single" w:sz="4" w:space="0" w:color="auto"/>
            </w:tcBorders>
            <w:shd w:val="clear" w:color="auto" w:fill="auto"/>
            <w:noWrap/>
            <w:vAlign w:val="bottom"/>
            <w:hideMark/>
          </w:tcPr>
          <w:p w14:paraId="6D759143"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272" w:type="dxa"/>
            <w:tcBorders>
              <w:top w:val="nil"/>
              <w:left w:val="single" w:sz="4" w:space="0" w:color="auto"/>
              <w:bottom w:val="nil"/>
              <w:right w:val="nil"/>
            </w:tcBorders>
            <w:vAlign w:val="bottom"/>
          </w:tcPr>
          <w:p w14:paraId="5252B358" w14:textId="66CE6864"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0D5A47">
              <w:rPr>
                <w:rFonts w:ascii="Times New Roman" w:eastAsia="Times New Roman" w:hAnsi="Times New Roman" w:cs="Times New Roman"/>
                <w:sz w:val="20"/>
                <w:szCs w:val="20"/>
                <w:lang w:eastAsia="en-NZ"/>
              </w:rPr>
              <w:t>Yes</w:t>
            </w:r>
          </w:p>
        </w:tc>
        <w:tc>
          <w:tcPr>
            <w:tcW w:w="1864" w:type="dxa"/>
            <w:tcBorders>
              <w:top w:val="nil"/>
              <w:left w:val="nil"/>
              <w:bottom w:val="nil"/>
              <w:right w:val="single" w:sz="4" w:space="0" w:color="auto"/>
            </w:tcBorders>
            <w:shd w:val="clear" w:color="auto" w:fill="auto"/>
            <w:noWrap/>
            <w:vAlign w:val="bottom"/>
            <w:hideMark/>
          </w:tcPr>
          <w:p w14:paraId="49B7287C"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375" w:type="dxa"/>
            <w:tcBorders>
              <w:top w:val="nil"/>
              <w:left w:val="single" w:sz="4" w:space="0" w:color="auto"/>
              <w:bottom w:val="nil"/>
              <w:right w:val="nil"/>
            </w:tcBorders>
            <w:vAlign w:val="bottom"/>
          </w:tcPr>
          <w:p w14:paraId="1298FE02"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906" w:type="dxa"/>
            <w:tcBorders>
              <w:top w:val="nil"/>
              <w:left w:val="nil"/>
              <w:bottom w:val="nil"/>
              <w:right w:val="nil"/>
            </w:tcBorders>
            <w:vAlign w:val="bottom"/>
          </w:tcPr>
          <w:p w14:paraId="125547DB" w14:textId="48998D18"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0D5A47">
              <w:rPr>
                <w:rFonts w:ascii="Times New Roman" w:eastAsia="Times New Roman" w:hAnsi="Times New Roman" w:cs="Times New Roman"/>
                <w:sz w:val="20"/>
                <w:szCs w:val="20"/>
                <w:lang w:eastAsia="en-NZ"/>
              </w:rPr>
              <w:t>Yes</w:t>
            </w:r>
          </w:p>
        </w:tc>
      </w:tr>
      <w:tr w:rsidR="006B0D98" w:rsidRPr="00365E19" w14:paraId="525ADE0E" w14:textId="77777777" w:rsidTr="001578CB">
        <w:trPr>
          <w:trHeight w:val="109"/>
        </w:trPr>
        <w:tc>
          <w:tcPr>
            <w:tcW w:w="4170" w:type="dxa"/>
            <w:tcBorders>
              <w:top w:val="nil"/>
              <w:left w:val="nil"/>
              <w:bottom w:val="nil"/>
              <w:right w:val="nil"/>
            </w:tcBorders>
            <w:shd w:val="clear" w:color="auto" w:fill="auto"/>
            <w:noWrap/>
            <w:vAlign w:val="bottom"/>
            <w:hideMark/>
          </w:tcPr>
          <w:p w14:paraId="5799C54C" w14:textId="77777777" w:rsidR="002D7289" w:rsidRPr="00365E19" w:rsidRDefault="002D7289" w:rsidP="002D7289">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Year FE</w:t>
            </w:r>
          </w:p>
        </w:tc>
        <w:tc>
          <w:tcPr>
            <w:tcW w:w="1439" w:type="dxa"/>
            <w:tcBorders>
              <w:top w:val="nil"/>
              <w:left w:val="nil"/>
              <w:bottom w:val="nil"/>
              <w:right w:val="nil"/>
            </w:tcBorders>
            <w:shd w:val="clear" w:color="auto" w:fill="auto"/>
            <w:noWrap/>
            <w:vAlign w:val="bottom"/>
            <w:hideMark/>
          </w:tcPr>
          <w:p w14:paraId="4132D784"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929" w:type="dxa"/>
            <w:tcBorders>
              <w:top w:val="nil"/>
              <w:left w:val="nil"/>
              <w:bottom w:val="nil"/>
              <w:right w:val="single" w:sz="4" w:space="0" w:color="auto"/>
            </w:tcBorders>
            <w:shd w:val="clear" w:color="auto" w:fill="auto"/>
            <w:noWrap/>
            <w:vAlign w:val="bottom"/>
            <w:hideMark/>
          </w:tcPr>
          <w:p w14:paraId="5682B3CD"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272" w:type="dxa"/>
            <w:tcBorders>
              <w:top w:val="nil"/>
              <w:left w:val="single" w:sz="4" w:space="0" w:color="auto"/>
              <w:bottom w:val="nil"/>
              <w:right w:val="nil"/>
            </w:tcBorders>
            <w:vAlign w:val="bottom"/>
          </w:tcPr>
          <w:p w14:paraId="6F3898EF" w14:textId="4C74BF22"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0D5A47">
              <w:rPr>
                <w:rFonts w:ascii="Times New Roman" w:eastAsia="Times New Roman" w:hAnsi="Times New Roman" w:cs="Times New Roman"/>
                <w:sz w:val="20"/>
                <w:szCs w:val="20"/>
                <w:lang w:eastAsia="en-NZ"/>
              </w:rPr>
              <w:t>Yes</w:t>
            </w:r>
          </w:p>
        </w:tc>
        <w:tc>
          <w:tcPr>
            <w:tcW w:w="1864" w:type="dxa"/>
            <w:tcBorders>
              <w:top w:val="nil"/>
              <w:left w:val="nil"/>
              <w:bottom w:val="nil"/>
              <w:right w:val="single" w:sz="4" w:space="0" w:color="auto"/>
            </w:tcBorders>
            <w:shd w:val="clear" w:color="auto" w:fill="auto"/>
            <w:noWrap/>
            <w:vAlign w:val="bottom"/>
            <w:hideMark/>
          </w:tcPr>
          <w:p w14:paraId="69500461"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375" w:type="dxa"/>
            <w:tcBorders>
              <w:top w:val="nil"/>
              <w:left w:val="single" w:sz="4" w:space="0" w:color="auto"/>
              <w:bottom w:val="nil"/>
              <w:right w:val="nil"/>
            </w:tcBorders>
            <w:vAlign w:val="bottom"/>
          </w:tcPr>
          <w:p w14:paraId="3DC4EB4F" w14:textId="7777777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Yes</w:t>
            </w:r>
          </w:p>
        </w:tc>
        <w:tc>
          <w:tcPr>
            <w:tcW w:w="1906" w:type="dxa"/>
            <w:tcBorders>
              <w:top w:val="nil"/>
              <w:left w:val="nil"/>
              <w:bottom w:val="nil"/>
              <w:right w:val="nil"/>
            </w:tcBorders>
            <w:vAlign w:val="bottom"/>
          </w:tcPr>
          <w:p w14:paraId="46840905" w14:textId="74372185"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0D5A47">
              <w:rPr>
                <w:rFonts w:ascii="Times New Roman" w:eastAsia="Times New Roman" w:hAnsi="Times New Roman" w:cs="Times New Roman"/>
                <w:sz w:val="20"/>
                <w:szCs w:val="20"/>
                <w:lang w:eastAsia="en-NZ"/>
              </w:rPr>
              <w:t>Yes</w:t>
            </w:r>
          </w:p>
        </w:tc>
      </w:tr>
      <w:tr w:rsidR="006B0D98" w:rsidRPr="00365E19" w14:paraId="0360EB10" w14:textId="77777777" w:rsidTr="001578CB">
        <w:trPr>
          <w:trHeight w:val="109"/>
        </w:trPr>
        <w:tc>
          <w:tcPr>
            <w:tcW w:w="4170" w:type="dxa"/>
            <w:tcBorders>
              <w:top w:val="nil"/>
              <w:left w:val="nil"/>
              <w:bottom w:val="nil"/>
              <w:right w:val="nil"/>
            </w:tcBorders>
            <w:shd w:val="clear" w:color="auto" w:fill="auto"/>
            <w:noWrap/>
            <w:vAlign w:val="bottom"/>
            <w:hideMark/>
          </w:tcPr>
          <w:p w14:paraId="0305A5BE" w14:textId="77777777" w:rsidR="002D7289" w:rsidRPr="00365E19" w:rsidRDefault="002D7289" w:rsidP="002D7289">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Observations</w:t>
            </w:r>
          </w:p>
        </w:tc>
        <w:tc>
          <w:tcPr>
            <w:tcW w:w="1439" w:type="dxa"/>
            <w:tcBorders>
              <w:top w:val="nil"/>
              <w:left w:val="nil"/>
              <w:bottom w:val="nil"/>
              <w:right w:val="nil"/>
            </w:tcBorders>
            <w:shd w:val="clear" w:color="auto" w:fill="auto"/>
            <w:noWrap/>
            <w:hideMark/>
          </w:tcPr>
          <w:p w14:paraId="0AB417A9" w14:textId="0E0C18BA"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color w:val="000000"/>
                <w:sz w:val="20"/>
                <w:szCs w:val="20"/>
                <w:lang w:eastAsia="en-NZ"/>
              </w:rPr>
              <w:t>11,764</w:t>
            </w:r>
          </w:p>
        </w:tc>
        <w:tc>
          <w:tcPr>
            <w:tcW w:w="1929" w:type="dxa"/>
            <w:tcBorders>
              <w:top w:val="nil"/>
              <w:left w:val="nil"/>
              <w:bottom w:val="nil"/>
              <w:right w:val="single" w:sz="4" w:space="0" w:color="auto"/>
            </w:tcBorders>
            <w:shd w:val="clear" w:color="auto" w:fill="auto"/>
            <w:noWrap/>
            <w:hideMark/>
          </w:tcPr>
          <w:p w14:paraId="39FC5343" w14:textId="5C19D9ED"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color w:val="000000"/>
                <w:sz w:val="20"/>
                <w:szCs w:val="20"/>
                <w:lang w:eastAsia="en-NZ"/>
              </w:rPr>
              <w:t>11,764</w:t>
            </w:r>
          </w:p>
        </w:tc>
        <w:tc>
          <w:tcPr>
            <w:tcW w:w="1272" w:type="dxa"/>
            <w:tcBorders>
              <w:top w:val="nil"/>
              <w:left w:val="single" w:sz="4" w:space="0" w:color="auto"/>
              <w:bottom w:val="nil"/>
              <w:right w:val="nil"/>
            </w:tcBorders>
          </w:tcPr>
          <w:p w14:paraId="201309E6" w14:textId="66CA42AC"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color w:val="000000"/>
                <w:sz w:val="20"/>
                <w:szCs w:val="20"/>
                <w:lang w:eastAsia="en-NZ"/>
              </w:rPr>
              <w:t>11,764</w:t>
            </w:r>
          </w:p>
        </w:tc>
        <w:tc>
          <w:tcPr>
            <w:tcW w:w="1864" w:type="dxa"/>
            <w:tcBorders>
              <w:top w:val="nil"/>
              <w:left w:val="nil"/>
              <w:bottom w:val="nil"/>
              <w:right w:val="single" w:sz="4" w:space="0" w:color="auto"/>
            </w:tcBorders>
            <w:shd w:val="clear" w:color="auto" w:fill="auto"/>
            <w:noWrap/>
            <w:hideMark/>
          </w:tcPr>
          <w:p w14:paraId="156F7B93" w14:textId="7ABC648F"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color w:val="000000"/>
                <w:sz w:val="20"/>
                <w:szCs w:val="20"/>
                <w:lang w:eastAsia="en-NZ"/>
              </w:rPr>
              <w:t>11,764</w:t>
            </w:r>
          </w:p>
        </w:tc>
        <w:tc>
          <w:tcPr>
            <w:tcW w:w="1375" w:type="dxa"/>
            <w:tcBorders>
              <w:top w:val="nil"/>
              <w:left w:val="single" w:sz="4" w:space="0" w:color="auto"/>
              <w:bottom w:val="nil"/>
              <w:right w:val="nil"/>
            </w:tcBorders>
          </w:tcPr>
          <w:p w14:paraId="70E460A9" w14:textId="24730F39"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color w:val="000000"/>
                <w:sz w:val="20"/>
                <w:szCs w:val="20"/>
                <w:lang w:eastAsia="en-NZ"/>
              </w:rPr>
              <w:t>11,764</w:t>
            </w:r>
          </w:p>
        </w:tc>
        <w:tc>
          <w:tcPr>
            <w:tcW w:w="1906" w:type="dxa"/>
            <w:tcBorders>
              <w:top w:val="nil"/>
              <w:left w:val="nil"/>
              <w:bottom w:val="nil"/>
              <w:right w:val="nil"/>
            </w:tcBorders>
          </w:tcPr>
          <w:p w14:paraId="045D1E52" w14:textId="6D1BD6DF"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365E19">
              <w:rPr>
                <w:rFonts w:ascii="Times New Roman" w:eastAsia="Times New Roman" w:hAnsi="Times New Roman" w:cs="Times New Roman"/>
                <w:color w:val="000000"/>
                <w:sz w:val="20"/>
                <w:szCs w:val="20"/>
                <w:lang w:eastAsia="en-NZ"/>
              </w:rPr>
              <w:t>11,764</w:t>
            </w:r>
          </w:p>
        </w:tc>
      </w:tr>
      <w:tr w:rsidR="006B0D98" w:rsidRPr="00365E19" w14:paraId="63AF2768" w14:textId="77777777" w:rsidTr="001578CB">
        <w:trPr>
          <w:trHeight w:val="109"/>
        </w:trPr>
        <w:tc>
          <w:tcPr>
            <w:tcW w:w="4170" w:type="dxa"/>
            <w:tcBorders>
              <w:top w:val="nil"/>
              <w:left w:val="nil"/>
              <w:bottom w:val="single" w:sz="4" w:space="0" w:color="000000"/>
              <w:right w:val="nil"/>
            </w:tcBorders>
            <w:shd w:val="clear" w:color="auto" w:fill="auto"/>
            <w:noWrap/>
            <w:vAlign w:val="bottom"/>
            <w:hideMark/>
          </w:tcPr>
          <w:p w14:paraId="38266BED" w14:textId="45614E11" w:rsidR="002D7289" w:rsidRPr="00365E19" w:rsidRDefault="002D7289" w:rsidP="002D7289">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Adj</w:t>
            </w:r>
            <w:r w:rsidR="002746A4">
              <w:rPr>
                <w:rFonts w:ascii="Times New Roman" w:eastAsia="Times New Roman" w:hAnsi="Times New Roman" w:cs="Times New Roman"/>
                <w:sz w:val="20"/>
                <w:szCs w:val="20"/>
                <w:lang w:eastAsia="en-NZ"/>
              </w:rPr>
              <w:t>.</w:t>
            </w:r>
            <w:r w:rsidRPr="00365E19">
              <w:rPr>
                <w:rFonts w:ascii="Times New Roman" w:eastAsia="Times New Roman" w:hAnsi="Times New Roman" w:cs="Times New Roman"/>
                <w:sz w:val="20"/>
                <w:szCs w:val="20"/>
                <w:lang w:eastAsia="en-NZ"/>
              </w:rPr>
              <w:t xml:space="preserve"> R</w:t>
            </w:r>
            <w:r w:rsidRPr="00365E19">
              <w:rPr>
                <w:rFonts w:ascii="Times New Roman" w:eastAsia="Times New Roman" w:hAnsi="Times New Roman" w:cs="Times New Roman"/>
                <w:sz w:val="20"/>
                <w:szCs w:val="20"/>
                <w:vertAlign w:val="superscript"/>
                <w:lang w:eastAsia="en-NZ"/>
              </w:rPr>
              <w:t>2</w:t>
            </w:r>
          </w:p>
        </w:tc>
        <w:tc>
          <w:tcPr>
            <w:tcW w:w="1439" w:type="dxa"/>
            <w:tcBorders>
              <w:top w:val="nil"/>
              <w:left w:val="nil"/>
              <w:bottom w:val="single" w:sz="4" w:space="0" w:color="000000"/>
              <w:right w:val="nil"/>
            </w:tcBorders>
            <w:shd w:val="clear" w:color="auto" w:fill="auto"/>
            <w:noWrap/>
            <w:vAlign w:val="bottom"/>
            <w:hideMark/>
          </w:tcPr>
          <w:p w14:paraId="350735E5" w14:textId="3FF07392"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0.2824</w:t>
            </w:r>
          </w:p>
        </w:tc>
        <w:tc>
          <w:tcPr>
            <w:tcW w:w="1929" w:type="dxa"/>
            <w:tcBorders>
              <w:top w:val="nil"/>
              <w:left w:val="nil"/>
              <w:bottom w:val="single" w:sz="4" w:space="0" w:color="000000"/>
              <w:right w:val="single" w:sz="4" w:space="0" w:color="auto"/>
            </w:tcBorders>
            <w:shd w:val="clear" w:color="auto" w:fill="auto"/>
            <w:noWrap/>
            <w:vAlign w:val="bottom"/>
            <w:hideMark/>
          </w:tcPr>
          <w:p w14:paraId="70AB6103" w14:textId="3EAC4FC8"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0.2677</w:t>
            </w:r>
          </w:p>
        </w:tc>
        <w:tc>
          <w:tcPr>
            <w:tcW w:w="1272" w:type="dxa"/>
            <w:tcBorders>
              <w:top w:val="nil"/>
              <w:left w:val="single" w:sz="4" w:space="0" w:color="auto"/>
              <w:bottom w:val="single" w:sz="4" w:space="0" w:color="000000"/>
              <w:right w:val="nil"/>
            </w:tcBorders>
            <w:vAlign w:val="bottom"/>
          </w:tcPr>
          <w:p w14:paraId="79B5B396" w14:textId="737D7648"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0.2823</w:t>
            </w:r>
          </w:p>
        </w:tc>
        <w:tc>
          <w:tcPr>
            <w:tcW w:w="1864" w:type="dxa"/>
            <w:tcBorders>
              <w:top w:val="nil"/>
              <w:left w:val="nil"/>
              <w:bottom w:val="single" w:sz="4" w:space="0" w:color="000000"/>
              <w:right w:val="single" w:sz="4" w:space="0" w:color="auto"/>
            </w:tcBorders>
            <w:shd w:val="clear" w:color="auto" w:fill="auto"/>
            <w:noWrap/>
            <w:vAlign w:val="bottom"/>
            <w:hideMark/>
          </w:tcPr>
          <w:p w14:paraId="4AB7794D" w14:textId="6EA0065D"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0.2681</w:t>
            </w:r>
          </w:p>
        </w:tc>
        <w:tc>
          <w:tcPr>
            <w:tcW w:w="1375" w:type="dxa"/>
            <w:tcBorders>
              <w:top w:val="nil"/>
              <w:left w:val="single" w:sz="4" w:space="0" w:color="auto"/>
              <w:bottom w:val="single" w:sz="4" w:space="0" w:color="000000"/>
              <w:right w:val="nil"/>
            </w:tcBorders>
            <w:vAlign w:val="bottom"/>
          </w:tcPr>
          <w:p w14:paraId="7BB569E4" w14:textId="68E67557"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0.2823</w:t>
            </w:r>
          </w:p>
        </w:tc>
        <w:tc>
          <w:tcPr>
            <w:tcW w:w="1906" w:type="dxa"/>
            <w:tcBorders>
              <w:top w:val="nil"/>
              <w:left w:val="nil"/>
              <w:bottom w:val="single" w:sz="4" w:space="0" w:color="000000"/>
              <w:right w:val="nil"/>
            </w:tcBorders>
            <w:vAlign w:val="bottom"/>
          </w:tcPr>
          <w:p w14:paraId="79AC57BF" w14:textId="6C3068A3" w:rsidR="002D7289" w:rsidRPr="00365E19" w:rsidRDefault="002D7289" w:rsidP="002D7289">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0.2674</w:t>
            </w:r>
          </w:p>
        </w:tc>
      </w:tr>
    </w:tbl>
    <w:p w14:paraId="7A14E953" w14:textId="1D406F54" w:rsidR="001C51B9" w:rsidRDefault="00036BDD" w:rsidP="005E3506">
      <w:pPr>
        <w:spacing w:after="0" w:line="240" w:lineRule="auto"/>
        <w:jc w:val="both"/>
        <w:rPr>
          <w:rFonts w:ascii="Times New Roman" w:hAnsi="Times New Roman" w:cs="Times New Roman"/>
          <w:sz w:val="20"/>
          <w:szCs w:val="20"/>
        </w:rPr>
        <w:sectPr w:rsidR="001C51B9" w:rsidSect="00F118D2">
          <w:pgSz w:w="16838" w:h="11906" w:orient="landscape"/>
          <w:pgMar w:top="1440" w:right="1440" w:bottom="1440" w:left="1440" w:header="708" w:footer="708" w:gutter="0"/>
          <w:cols w:space="708"/>
          <w:docGrid w:linePitch="360"/>
        </w:sectPr>
      </w:pPr>
      <w:r>
        <w:rPr>
          <w:rFonts w:ascii="Times New Roman" w:hAnsi="Times New Roman" w:cs="Times New Roman"/>
          <w:sz w:val="20"/>
          <w:szCs w:val="20"/>
        </w:rPr>
        <w:t xml:space="preserve">Note: </w:t>
      </w:r>
      <w:r w:rsidRPr="00CC0FCE">
        <w:rPr>
          <w:rFonts w:ascii="Times New Roman" w:hAnsi="Times New Roman" w:cs="Times New Roman"/>
          <w:sz w:val="20"/>
          <w:szCs w:val="20"/>
        </w:rPr>
        <w:t xml:space="preserve">This table reports results </w:t>
      </w:r>
      <w:r>
        <w:rPr>
          <w:rFonts w:ascii="Times New Roman" w:hAnsi="Times New Roman" w:cs="Times New Roman"/>
          <w:sz w:val="20"/>
          <w:szCs w:val="20"/>
        </w:rPr>
        <w:t xml:space="preserve">for earnings management, legal regime, and post-SEO performance using alternative measures of </w:t>
      </w:r>
      <w:r w:rsidR="001E2E68">
        <w:rPr>
          <w:rFonts w:ascii="Times New Roman" w:hAnsi="Times New Roman" w:cs="Times New Roman"/>
          <w:sz w:val="20"/>
          <w:szCs w:val="20"/>
        </w:rPr>
        <w:t>legal regime</w:t>
      </w:r>
      <w:r w:rsidRPr="00CC0FCE">
        <w:rPr>
          <w:rFonts w:ascii="Times New Roman" w:hAnsi="Times New Roman" w:cs="Times New Roman"/>
          <w:sz w:val="20"/>
          <w:szCs w:val="20"/>
        </w:rPr>
        <w:t>.</w:t>
      </w:r>
      <w:r w:rsidR="00815CAE">
        <w:rPr>
          <w:rFonts w:ascii="Times New Roman" w:hAnsi="Times New Roman" w:cs="Times New Roman"/>
          <w:sz w:val="20"/>
          <w:szCs w:val="20"/>
        </w:rPr>
        <w:t xml:space="preserve"> </w:t>
      </w:r>
      <w:r>
        <w:rPr>
          <w:rFonts w:ascii="Times New Roman" w:hAnsi="Times New Roman" w:cs="Times New Roman"/>
          <w:sz w:val="20"/>
          <w:szCs w:val="20"/>
        </w:rPr>
        <w:t xml:space="preserve">Columns (1) </w:t>
      </w:r>
      <w:r w:rsidR="001E2E68">
        <w:rPr>
          <w:rFonts w:ascii="Times New Roman" w:hAnsi="Times New Roman" w:cs="Times New Roman"/>
          <w:sz w:val="20"/>
          <w:szCs w:val="20"/>
        </w:rPr>
        <w:t>and</w:t>
      </w:r>
      <w:r>
        <w:rPr>
          <w:rFonts w:ascii="Times New Roman" w:hAnsi="Times New Roman" w:cs="Times New Roman"/>
          <w:sz w:val="20"/>
          <w:szCs w:val="20"/>
        </w:rPr>
        <w:t xml:space="preserve"> (</w:t>
      </w:r>
      <w:r w:rsidR="00815CAE">
        <w:rPr>
          <w:rFonts w:ascii="Times New Roman" w:hAnsi="Times New Roman" w:cs="Times New Roman"/>
          <w:sz w:val="20"/>
          <w:szCs w:val="20"/>
        </w:rPr>
        <w:t>2</w:t>
      </w:r>
      <w:r>
        <w:rPr>
          <w:rFonts w:ascii="Times New Roman" w:hAnsi="Times New Roman" w:cs="Times New Roman"/>
          <w:sz w:val="20"/>
          <w:szCs w:val="20"/>
        </w:rPr>
        <w:t xml:space="preserve">) report results for </w:t>
      </w:r>
      <w:r w:rsidR="00773C89">
        <w:rPr>
          <w:rFonts w:ascii="Times New Roman" w:hAnsi="Times New Roman" w:cs="Times New Roman"/>
          <w:sz w:val="20"/>
          <w:szCs w:val="20"/>
        </w:rPr>
        <w:t xml:space="preserve">the </w:t>
      </w:r>
      <w:r w:rsidR="001E2E68">
        <w:rPr>
          <w:rFonts w:ascii="Times New Roman" w:hAnsi="Times New Roman" w:cs="Times New Roman"/>
          <w:sz w:val="20"/>
          <w:szCs w:val="20"/>
        </w:rPr>
        <w:t xml:space="preserve">legal regime </w:t>
      </w:r>
      <w:r w:rsidR="00792830">
        <w:rPr>
          <w:rFonts w:ascii="Times New Roman" w:hAnsi="Times New Roman" w:cs="Times New Roman"/>
          <w:sz w:val="20"/>
          <w:szCs w:val="20"/>
        </w:rPr>
        <w:t>measured as common-law vs code law</w:t>
      </w:r>
      <w:r w:rsidR="006C166D">
        <w:rPr>
          <w:rFonts w:ascii="Times New Roman" w:hAnsi="Times New Roman" w:cs="Times New Roman"/>
          <w:sz w:val="20"/>
          <w:szCs w:val="20"/>
        </w:rPr>
        <w:t>,</w:t>
      </w:r>
      <w:r w:rsidR="00815CAE">
        <w:rPr>
          <w:rFonts w:ascii="Times New Roman" w:hAnsi="Times New Roman" w:cs="Times New Roman"/>
          <w:sz w:val="20"/>
          <w:szCs w:val="20"/>
        </w:rPr>
        <w:t xml:space="preserve"> Columns (3) and (4) report results for </w:t>
      </w:r>
      <w:r w:rsidR="00773C89">
        <w:rPr>
          <w:rFonts w:ascii="Times New Roman" w:hAnsi="Times New Roman" w:cs="Times New Roman"/>
          <w:sz w:val="20"/>
          <w:szCs w:val="20"/>
        </w:rPr>
        <w:t xml:space="preserve">the </w:t>
      </w:r>
      <w:r w:rsidR="00815CAE">
        <w:rPr>
          <w:rFonts w:ascii="Times New Roman" w:hAnsi="Times New Roman" w:cs="Times New Roman"/>
          <w:sz w:val="20"/>
          <w:szCs w:val="20"/>
        </w:rPr>
        <w:t xml:space="preserve">legal regime measured as </w:t>
      </w:r>
      <w:r w:rsidR="00E034C8">
        <w:rPr>
          <w:rFonts w:ascii="Times New Roman" w:hAnsi="Times New Roman" w:cs="Times New Roman"/>
          <w:sz w:val="20"/>
          <w:szCs w:val="20"/>
        </w:rPr>
        <w:t>anti-director right index</w:t>
      </w:r>
      <w:r w:rsidR="006C166D">
        <w:rPr>
          <w:rFonts w:ascii="Times New Roman" w:hAnsi="Times New Roman" w:cs="Times New Roman"/>
          <w:sz w:val="20"/>
          <w:szCs w:val="20"/>
        </w:rPr>
        <w:t>,</w:t>
      </w:r>
      <w:r>
        <w:rPr>
          <w:rFonts w:ascii="Times New Roman" w:hAnsi="Times New Roman" w:cs="Times New Roman"/>
          <w:sz w:val="20"/>
          <w:szCs w:val="20"/>
        </w:rPr>
        <w:t xml:space="preserve"> and Columns (5) </w:t>
      </w:r>
      <w:r w:rsidR="006C166D">
        <w:rPr>
          <w:rFonts w:ascii="Times New Roman" w:hAnsi="Times New Roman" w:cs="Times New Roman"/>
          <w:sz w:val="20"/>
          <w:szCs w:val="20"/>
        </w:rPr>
        <w:t>and</w:t>
      </w:r>
      <w:r>
        <w:rPr>
          <w:rFonts w:ascii="Times New Roman" w:hAnsi="Times New Roman" w:cs="Times New Roman"/>
          <w:sz w:val="20"/>
          <w:szCs w:val="20"/>
        </w:rPr>
        <w:t xml:space="preserve"> (</w:t>
      </w:r>
      <w:r w:rsidR="003F590F">
        <w:rPr>
          <w:rFonts w:ascii="Times New Roman" w:hAnsi="Times New Roman" w:cs="Times New Roman"/>
          <w:sz w:val="20"/>
          <w:szCs w:val="20"/>
        </w:rPr>
        <w:t>6</w:t>
      </w:r>
      <w:r>
        <w:rPr>
          <w:rFonts w:ascii="Times New Roman" w:hAnsi="Times New Roman" w:cs="Times New Roman"/>
          <w:sz w:val="20"/>
          <w:szCs w:val="20"/>
        </w:rPr>
        <w:t xml:space="preserve">) report results for </w:t>
      </w:r>
      <w:r w:rsidR="003F590F">
        <w:rPr>
          <w:rFonts w:ascii="Times New Roman" w:hAnsi="Times New Roman" w:cs="Times New Roman"/>
          <w:sz w:val="20"/>
          <w:szCs w:val="20"/>
        </w:rPr>
        <w:t xml:space="preserve">legal regime measured as public enforcement. </w:t>
      </w:r>
      <w:r w:rsidR="00CD0374">
        <w:rPr>
          <w:rFonts w:ascii="Times New Roman" w:hAnsi="Times New Roman" w:cs="Times New Roman"/>
          <w:sz w:val="20"/>
          <w:szCs w:val="20"/>
        </w:rPr>
        <w:t xml:space="preserve">The table </w:t>
      </w:r>
      <w:r>
        <w:rPr>
          <w:rFonts w:ascii="Times New Roman" w:hAnsi="Times New Roman" w:cs="Times New Roman"/>
          <w:sz w:val="20"/>
          <w:szCs w:val="20"/>
        </w:rPr>
        <w:t>present</w:t>
      </w:r>
      <w:r w:rsidR="00310B64">
        <w:rPr>
          <w:rFonts w:ascii="Times New Roman" w:hAnsi="Times New Roman" w:cs="Times New Roman"/>
          <w:sz w:val="20"/>
          <w:szCs w:val="20"/>
        </w:rPr>
        <w:t>s</w:t>
      </w:r>
      <w:r>
        <w:rPr>
          <w:rFonts w:ascii="Times New Roman" w:hAnsi="Times New Roman" w:cs="Times New Roman"/>
          <w:sz w:val="20"/>
          <w:szCs w:val="20"/>
        </w:rPr>
        <w:t xml:space="preserve"> </w:t>
      </w:r>
      <w:r w:rsidR="00310B64">
        <w:rPr>
          <w:rFonts w:ascii="Times New Roman" w:hAnsi="Times New Roman" w:cs="Times New Roman"/>
          <w:sz w:val="20"/>
          <w:szCs w:val="20"/>
        </w:rPr>
        <w:t xml:space="preserve">the </w:t>
      </w:r>
      <w:r>
        <w:rPr>
          <w:rFonts w:ascii="Times New Roman" w:hAnsi="Times New Roman" w:cs="Times New Roman"/>
          <w:sz w:val="20"/>
          <w:szCs w:val="20"/>
        </w:rPr>
        <w:t xml:space="preserve">results of </w:t>
      </w:r>
      <w:r w:rsidR="00310B64">
        <w:rPr>
          <w:rFonts w:ascii="Times New Roman" w:hAnsi="Times New Roman" w:cs="Times New Roman"/>
          <w:sz w:val="20"/>
          <w:szCs w:val="20"/>
        </w:rPr>
        <w:t xml:space="preserve">the </w:t>
      </w:r>
      <w:r>
        <w:rPr>
          <w:rFonts w:ascii="Times New Roman" w:hAnsi="Times New Roman" w:cs="Times New Roman"/>
          <w:sz w:val="20"/>
          <w:szCs w:val="20"/>
        </w:rPr>
        <w:t>estimation of Equations (</w:t>
      </w:r>
      <w:r w:rsidR="00CD0374">
        <w:rPr>
          <w:rFonts w:ascii="Times New Roman" w:hAnsi="Times New Roman" w:cs="Times New Roman"/>
          <w:sz w:val="20"/>
          <w:szCs w:val="20"/>
        </w:rPr>
        <w:t>3</w:t>
      </w:r>
      <w:r>
        <w:rPr>
          <w:rFonts w:ascii="Times New Roman" w:hAnsi="Times New Roman" w:cs="Times New Roman"/>
          <w:sz w:val="20"/>
          <w:szCs w:val="20"/>
        </w:rPr>
        <w:t>) and (</w:t>
      </w:r>
      <w:r w:rsidR="00CD0374">
        <w:rPr>
          <w:rFonts w:ascii="Times New Roman" w:hAnsi="Times New Roman" w:cs="Times New Roman"/>
          <w:sz w:val="20"/>
          <w:szCs w:val="20"/>
        </w:rPr>
        <w:t>4</w:t>
      </w:r>
      <w:r>
        <w:rPr>
          <w:rFonts w:ascii="Times New Roman" w:hAnsi="Times New Roman" w:cs="Times New Roman"/>
          <w:sz w:val="20"/>
          <w:szCs w:val="20"/>
        </w:rPr>
        <w:t>)</w:t>
      </w:r>
      <w:r w:rsidR="007E6FE3">
        <w:rPr>
          <w:rFonts w:ascii="Times New Roman" w:hAnsi="Times New Roman" w:cs="Times New Roman"/>
          <w:sz w:val="20"/>
          <w:szCs w:val="20"/>
        </w:rPr>
        <w:t xml:space="preserve"> as </w:t>
      </w:r>
      <w:r w:rsidR="007E6FE3" w:rsidRPr="001578CB">
        <w:rPr>
          <w:rFonts w:ascii="Times New Roman" w:hAnsi="Times New Roman" w:cs="Times New Roman"/>
          <w:i/>
          <w:iCs/>
          <w:sz w:val="20"/>
          <w:szCs w:val="20"/>
        </w:rPr>
        <w:t>LAW</w:t>
      </w:r>
      <w:r w:rsidR="007E6FE3">
        <w:rPr>
          <w:rFonts w:ascii="Times New Roman" w:hAnsi="Times New Roman" w:cs="Times New Roman"/>
          <w:sz w:val="20"/>
          <w:szCs w:val="20"/>
        </w:rPr>
        <w:t xml:space="preserve"> is our variable of interest</w:t>
      </w:r>
      <w:r>
        <w:rPr>
          <w:rFonts w:ascii="Times New Roman" w:hAnsi="Times New Roman" w:cs="Times New Roman"/>
          <w:sz w:val="20"/>
          <w:szCs w:val="20"/>
        </w:rPr>
        <w:t xml:space="preserve">. </w:t>
      </w:r>
      <w:r w:rsidRPr="00CC0FCE">
        <w:rPr>
          <w:rFonts w:ascii="Times New Roman" w:hAnsi="Times New Roman" w:cs="Times New Roman"/>
          <w:sz w:val="20"/>
          <w:szCs w:val="20"/>
        </w:rPr>
        <w:t xml:space="preserve">Robust </w:t>
      </w:r>
      <w:r w:rsidRPr="00A96144">
        <w:rPr>
          <w:rFonts w:ascii="Times New Roman" w:hAnsi="Times New Roman" w:cs="Times New Roman"/>
          <w:i/>
          <w:iCs/>
          <w:sz w:val="20"/>
          <w:szCs w:val="20"/>
        </w:rPr>
        <w:t>t</w:t>
      </w:r>
      <w:r w:rsidRPr="00CC0FCE">
        <w:rPr>
          <w:rFonts w:ascii="Times New Roman" w:hAnsi="Times New Roman" w:cs="Times New Roman"/>
          <w:sz w:val="20"/>
          <w:szCs w:val="20"/>
        </w:rPr>
        <w:t>-statistics are in parenthesis. ***, **, * indicate significance at the 1%, 5% and 10% levels, respectively. All variables are defined in Appendix</w:t>
      </w:r>
      <w:r w:rsidR="00B821D4">
        <w:rPr>
          <w:rFonts w:ascii="Times New Roman" w:hAnsi="Times New Roman" w:cs="Times New Roman"/>
          <w:sz w:val="20"/>
          <w:szCs w:val="20"/>
        </w:rPr>
        <w:t>.</w:t>
      </w:r>
      <w:r w:rsidR="004A0B3F">
        <w:rPr>
          <w:rFonts w:ascii="Times New Roman" w:hAnsi="Times New Roman" w:cs="Times New Roman"/>
          <w:sz w:val="20"/>
          <w:szCs w:val="20"/>
        </w:rPr>
        <w:br w:type="page"/>
      </w:r>
    </w:p>
    <w:tbl>
      <w:tblPr>
        <w:tblW w:w="9026" w:type="dxa"/>
        <w:tblLook w:val="04A0" w:firstRow="1" w:lastRow="0" w:firstColumn="1" w:lastColumn="0" w:noHBand="0" w:noVBand="1"/>
      </w:tblPr>
      <w:tblGrid>
        <w:gridCol w:w="2672"/>
        <w:gridCol w:w="1417"/>
        <w:gridCol w:w="1697"/>
        <w:gridCol w:w="1620"/>
        <w:gridCol w:w="1620"/>
      </w:tblGrid>
      <w:tr w:rsidR="001C51B9" w:rsidRPr="00CC0FCE" w14:paraId="2A717904" w14:textId="77777777" w:rsidTr="005436B9">
        <w:trPr>
          <w:trHeight w:val="145"/>
        </w:trPr>
        <w:tc>
          <w:tcPr>
            <w:tcW w:w="9026" w:type="dxa"/>
            <w:gridSpan w:val="5"/>
            <w:tcBorders>
              <w:left w:val="nil"/>
              <w:bottom w:val="single" w:sz="4" w:space="0" w:color="auto"/>
              <w:right w:val="nil"/>
            </w:tcBorders>
            <w:shd w:val="clear" w:color="auto" w:fill="auto"/>
            <w:noWrap/>
            <w:vAlign w:val="bottom"/>
          </w:tcPr>
          <w:p w14:paraId="2E7DC814" w14:textId="5450B108"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2A6AF0">
              <w:rPr>
                <w:rFonts w:ascii="Times New Roman" w:eastAsia="Times New Roman" w:hAnsi="Times New Roman" w:cs="Times New Roman"/>
                <w:color w:val="000000"/>
                <w:sz w:val="20"/>
                <w:szCs w:val="20"/>
                <w:lang w:eastAsia="en-NZ"/>
              </w:rPr>
              <w:lastRenderedPageBreak/>
              <w:t xml:space="preserve">TABLE </w:t>
            </w:r>
            <w:r>
              <w:rPr>
                <w:rFonts w:ascii="Times New Roman" w:eastAsia="Times New Roman" w:hAnsi="Times New Roman" w:cs="Times New Roman"/>
                <w:color w:val="000000"/>
                <w:sz w:val="20"/>
                <w:szCs w:val="20"/>
                <w:lang w:eastAsia="en-NZ"/>
              </w:rPr>
              <w:t>1</w:t>
            </w:r>
            <w:r w:rsidR="00A66207">
              <w:rPr>
                <w:rFonts w:ascii="Times New Roman" w:eastAsia="Times New Roman" w:hAnsi="Times New Roman" w:cs="Times New Roman"/>
                <w:color w:val="000000"/>
                <w:sz w:val="20"/>
                <w:szCs w:val="20"/>
                <w:lang w:eastAsia="en-NZ"/>
              </w:rPr>
              <w:t>0</w:t>
            </w:r>
            <w:r w:rsidRPr="002A6AF0">
              <w:rPr>
                <w:rFonts w:ascii="Times New Roman" w:eastAsia="Times New Roman" w:hAnsi="Times New Roman" w:cs="Times New Roman"/>
                <w:color w:val="000000"/>
                <w:sz w:val="20"/>
                <w:szCs w:val="20"/>
                <w:lang w:eastAsia="en-NZ"/>
              </w:rPr>
              <w:t>:</w:t>
            </w:r>
            <w:r>
              <w:rPr>
                <w:rFonts w:ascii="Times New Roman" w:eastAsia="Times New Roman" w:hAnsi="Times New Roman" w:cs="Times New Roman"/>
                <w:color w:val="000000"/>
                <w:sz w:val="20"/>
                <w:szCs w:val="20"/>
                <w:lang w:eastAsia="en-NZ"/>
              </w:rPr>
              <w:t xml:space="preserve"> </w:t>
            </w:r>
            <w:r w:rsidRPr="00CC0FCE">
              <w:rPr>
                <w:rFonts w:ascii="Times New Roman" w:eastAsia="Times New Roman" w:hAnsi="Times New Roman" w:cs="Times New Roman"/>
                <w:sz w:val="20"/>
                <w:szCs w:val="20"/>
                <w:lang w:eastAsia="en-NZ"/>
              </w:rPr>
              <w:t>Weighted Least Squares</w:t>
            </w:r>
            <w:r w:rsidR="00BD0CEB">
              <w:rPr>
                <w:rFonts w:ascii="Times New Roman" w:eastAsia="Times New Roman" w:hAnsi="Times New Roman" w:cs="Times New Roman"/>
                <w:sz w:val="20"/>
                <w:szCs w:val="20"/>
                <w:lang w:eastAsia="en-NZ"/>
              </w:rPr>
              <w:t xml:space="preserve"> regression analysis</w:t>
            </w:r>
          </w:p>
        </w:tc>
      </w:tr>
      <w:tr w:rsidR="001C51B9" w:rsidRPr="00CC0FCE" w14:paraId="34148334" w14:textId="77777777" w:rsidTr="005436B9">
        <w:trPr>
          <w:trHeight w:val="71"/>
        </w:trPr>
        <w:tc>
          <w:tcPr>
            <w:tcW w:w="2672" w:type="dxa"/>
            <w:tcBorders>
              <w:top w:val="single" w:sz="4" w:space="0" w:color="auto"/>
              <w:left w:val="nil"/>
              <w:right w:val="nil"/>
            </w:tcBorders>
            <w:shd w:val="clear" w:color="auto" w:fill="auto"/>
            <w:noWrap/>
            <w:vAlign w:val="bottom"/>
          </w:tcPr>
          <w:p w14:paraId="5E3C4872"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p>
        </w:tc>
        <w:tc>
          <w:tcPr>
            <w:tcW w:w="1417" w:type="dxa"/>
            <w:tcBorders>
              <w:top w:val="single" w:sz="4" w:space="0" w:color="auto"/>
              <w:left w:val="nil"/>
              <w:right w:val="nil"/>
            </w:tcBorders>
            <w:shd w:val="clear" w:color="auto" w:fill="auto"/>
            <w:noWrap/>
            <w:vAlign w:val="bottom"/>
          </w:tcPr>
          <w:p w14:paraId="49B42DE2"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(1)</w:t>
            </w:r>
          </w:p>
        </w:tc>
        <w:tc>
          <w:tcPr>
            <w:tcW w:w="1697" w:type="dxa"/>
            <w:tcBorders>
              <w:top w:val="single" w:sz="4" w:space="0" w:color="auto"/>
              <w:left w:val="nil"/>
              <w:right w:val="nil"/>
            </w:tcBorders>
            <w:shd w:val="clear" w:color="auto" w:fill="auto"/>
            <w:noWrap/>
            <w:vAlign w:val="bottom"/>
          </w:tcPr>
          <w:p w14:paraId="2051033B"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(2)</w:t>
            </w:r>
          </w:p>
        </w:tc>
        <w:tc>
          <w:tcPr>
            <w:tcW w:w="1620" w:type="dxa"/>
            <w:tcBorders>
              <w:top w:val="single" w:sz="4" w:space="0" w:color="auto"/>
              <w:left w:val="nil"/>
              <w:right w:val="nil"/>
            </w:tcBorders>
            <w:shd w:val="clear" w:color="auto" w:fill="auto"/>
            <w:noWrap/>
            <w:vAlign w:val="bottom"/>
          </w:tcPr>
          <w:p w14:paraId="5EF5B6E3"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(3)</w:t>
            </w:r>
          </w:p>
        </w:tc>
        <w:tc>
          <w:tcPr>
            <w:tcW w:w="1620" w:type="dxa"/>
            <w:tcBorders>
              <w:top w:val="single" w:sz="4" w:space="0" w:color="auto"/>
              <w:left w:val="nil"/>
              <w:right w:val="nil"/>
            </w:tcBorders>
            <w:shd w:val="clear" w:color="auto" w:fill="auto"/>
            <w:noWrap/>
            <w:vAlign w:val="bottom"/>
          </w:tcPr>
          <w:p w14:paraId="1376151C"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(4)</w:t>
            </w:r>
          </w:p>
        </w:tc>
      </w:tr>
      <w:tr w:rsidR="001C51B9" w:rsidRPr="00CC0FCE" w14:paraId="0DBE875B" w14:textId="77777777" w:rsidTr="005436B9">
        <w:trPr>
          <w:trHeight w:val="112"/>
        </w:trPr>
        <w:tc>
          <w:tcPr>
            <w:tcW w:w="2672" w:type="dxa"/>
            <w:tcBorders>
              <w:left w:val="nil"/>
              <w:bottom w:val="single" w:sz="4" w:space="0" w:color="auto"/>
              <w:right w:val="nil"/>
            </w:tcBorders>
            <w:shd w:val="clear" w:color="auto" w:fill="auto"/>
            <w:noWrap/>
            <w:vAlign w:val="bottom"/>
          </w:tcPr>
          <w:p w14:paraId="11FA25EE"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Variables</w:t>
            </w:r>
          </w:p>
        </w:tc>
        <w:tc>
          <w:tcPr>
            <w:tcW w:w="1417" w:type="dxa"/>
            <w:tcBorders>
              <w:left w:val="nil"/>
              <w:bottom w:val="single" w:sz="4" w:space="0" w:color="auto"/>
              <w:right w:val="nil"/>
            </w:tcBorders>
            <w:shd w:val="clear" w:color="auto" w:fill="auto"/>
            <w:noWrap/>
            <w:vAlign w:val="bottom"/>
          </w:tcPr>
          <w:p w14:paraId="448DCC3D"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AEM</w:t>
            </w:r>
            <w:r>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c>
          <w:tcPr>
            <w:tcW w:w="1697" w:type="dxa"/>
            <w:tcBorders>
              <w:left w:val="nil"/>
              <w:bottom w:val="single" w:sz="4" w:space="0" w:color="auto"/>
              <w:right w:val="nil"/>
            </w:tcBorders>
            <w:shd w:val="clear" w:color="auto" w:fill="auto"/>
            <w:noWrap/>
            <w:vAlign w:val="bottom"/>
          </w:tcPr>
          <w:p w14:paraId="0EE12385"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Sum (AEM</w:t>
            </w:r>
            <w:r>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c>
          <w:tcPr>
            <w:tcW w:w="1620" w:type="dxa"/>
            <w:tcBorders>
              <w:left w:val="nil"/>
              <w:bottom w:val="single" w:sz="4" w:space="0" w:color="auto"/>
              <w:right w:val="nil"/>
            </w:tcBorders>
            <w:shd w:val="clear" w:color="auto" w:fill="auto"/>
            <w:noWrap/>
            <w:vAlign w:val="bottom"/>
          </w:tcPr>
          <w:p w14:paraId="6E1C533F"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AEM</w:t>
            </w:r>
            <w:r>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c>
          <w:tcPr>
            <w:tcW w:w="1620" w:type="dxa"/>
            <w:tcBorders>
              <w:left w:val="nil"/>
              <w:bottom w:val="single" w:sz="4" w:space="0" w:color="auto"/>
              <w:right w:val="nil"/>
            </w:tcBorders>
            <w:shd w:val="clear" w:color="auto" w:fill="auto"/>
            <w:noWrap/>
            <w:vAlign w:val="bottom"/>
          </w:tcPr>
          <w:p w14:paraId="4FB27EFD" w14:textId="77777777" w:rsidR="001C51B9" w:rsidRPr="00CC0FCE" w:rsidRDefault="001C51B9" w:rsidP="005436B9">
            <w:pPr>
              <w:spacing w:after="0" w:line="240" w:lineRule="auto"/>
              <w:jc w:val="center"/>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Sum (AEM</w:t>
            </w:r>
            <w:r>
              <w:rPr>
                <w:rFonts w:ascii="Times New Roman" w:eastAsia="Times New Roman" w:hAnsi="Times New Roman" w:cs="Times New Roman"/>
                <w:sz w:val="20"/>
                <w:szCs w:val="20"/>
                <w:lang w:eastAsia="en-NZ"/>
              </w:rPr>
              <w:t>&amp;</w:t>
            </w:r>
            <w:r w:rsidRPr="00CC0FCE">
              <w:rPr>
                <w:rFonts w:ascii="Times New Roman" w:eastAsia="Times New Roman" w:hAnsi="Times New Roman" w:cs="Times New Roman"/>
                <w:sz w:val="20"/>
                <w:szCs w:val="20"/>
                <w:lang w:eastAsia="en-NZ"/>
              </w:rPr>
              <w:t>RAM)</w:t>
            </w:r>
          </w:p>
        </w:tc>
      </w:tr>
      <w:tr w:rsidR="001C51B9" w:rsidRPr="00CC0FCE" w14:paraId="0182770F" w14:textId="77777777" w:rsidTr="005436B9">
        <w:trPr>
          <w:trHeight w:val="275"/>
        </w:trPr>
        <w:tc>
          <w:tcPr>
            <w:tcW w:w="2672" w:type="dxa"/>
            <w:tcBorders>
              <w:top w:val="single" w:sz="4" w:space="0" w:color="auto"/>
              <w:left w:val="nil"/>
              <w:bottom w:val="nil"/>
              <w:right w:val="nil"/>
            </w:tcBorders>
            <w:shd w:val="clear" w:color="auto" w:fill="auto"/>
            <w:noWrap/>
            <w:vAlign w:val="bottom"/>
            <w:hideMark/>
          </w:tcPr>
          <w:p w14:paraId="615B608F"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AEM</w:t>
            </w:r>
          </w:p>
        </w:tc>
        <w:tc>
          <w:tcPr>
            <w:tcW w:w="1417" w:type="dxa"/>
            <w:tcBorders>
              <w:top w:val="nil"/>
              <w:left w:val="nil"/>
              <w:bottom w:val="nil"/>
              <w:right w:val="nil"/>
            </w:tcBorders>
            <w:shd w:val="clear" w:color="auto" w:fill="auto"/>
            <w:noWrap/>
            <w:vAlign w:val="bottom"/>
          </w:tcPr>
          <w:p w14:paraId="09943820"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0.0195**</w:t>
            </w:r>
          </w:p>
        </w:tc>
        <w:tc>
          <w:tcPr>
            <w:tcW w:w="1697" w:type="dxa"/>
            <w:tcBorders>
              <w:top w:val="nil"/>
              <w:left w:val="nil"/>
              <w:bottom w:val="nil"/>
              <w:right w:val="nil"/>
            </w:tcBorders>
            <w:shd w:val="clear" w:color="auto" w:fill="auto"/>
            <w:noWrap/>
            <w:vAlign w:val="bottom"/>
          </w:tcPr>
          <w:p w14:paraId="1639E5DD"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463418A4"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0.0254</w:t>
            </w:r>
          </w:p>
        </w:tc>
        <w:tc>
          <w:tcPr>
            <w:tcW w:w="1620" w:type="dxa"/>
            <w:tcBorders>
              <w:top w:val="single" w:sz="4" w:space="0" w:color="auto"/>
              <w:left w:val="nil"/>
              <w:bottom w:val="nil"/>
              <w:right w:val="nil"/>
            </w:tcBorders>
            <w:shd w:val="clear" w:color="auto" w:fill="auto"/>
            <w:noWrap/>
            <w:vAlign w:val="bottom"/>
          </w:tcPr>
          <w:p w14:paraId="57A21EBF"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CC0FCE" w14:paraId="4859793B" w14:textId="77777777" w:rsidTr="005436B9">
        <w:trPr>
          <w:trHeight w:val="275"/>
        </w:trPr>
        <w:tc>
          <w:tcPr>
            <w:tcW w:w="2672" w:type="dxa"/>
            <w:tcBorders>
              <w:top w:val="nil"/>
              <w:left w:val="nil"/>
              <w:bottom w:val="nil"/>
              <w:right w:val="nil"/>
            </w:tcBorders>
            <w:shd w:val="clear" w:color="auto" w:fill="auto"/>
            <w:noWrap/>
            <w:vAlign w:val="bottom"/>
            <w:hideMark/>
          </w:tcPr>
          <w:p w14:paraId="051E1C9F" w14:textId="77777777" w:rsidR="001C51B9" w:rsidRPr="005436B9" w:rsidRDefault="001C51B9" w:rsidP="005436B9">
            <w:pPr>
              <w:spacing w:after="0" w:line="240" w:lineRule="auto"/>
              <w:jc w:val="center"/>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6F3CACA4"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2.3155)</w:t>
            </w:r>
          </w:p>
        </w:tc>
        <w:tc>
          <w:tcPr>
            <w:tcW w:w="1697" w:type="dxa"/>
            <w:tcBorders>
              <w:top w:val="nil"/>
              <w:left w:val="nil"/>
              <w:bottom w:val="nil"/>
              <w:right w:val="nil"/>
            </w:tcBorders>
            <w:shd w:val="clear" w:color="auto" w:fill="auto"/>
            <w:noWrap/>
            <w:vAlign w:val="bottom"/>
          </w:tcPr>
          <w:p w14:paraId="05B813B7"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01D8F893"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1.5322)</w:t>
            </w:r>
          </w:p>
        </w:tc>
        <w:tc>
          <w:tcPr>
            <w:tcW w:w="1620" w:type="dxa"/>
            <w:tcBorders>
              <w:top w:val="nil"/>
              <w:left w:val="nil"/>
              <w:bottom w:val="nil"/>
              <w:right w:val="nil"/>
            </w:tcBorders>
            <w:shd w:val="clear" w:color="auto" w:fill="auto"/>
            <w:noWrap/>
            <w:vAlign w:val="bottom"/>
          </w:tcPr>
          <w:p w14:paraId="7BC4CF81"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CC0FCE" w14:paraId="5889BF99" w14:textId="77777777" w:rsidTr="005436B9">
        <w:trPr>
          <w:trHeight w:val="275"/>
        </w:trPr>
        <w:tc>
          <w:tcPr>
            <w:tcW w:w="2672" w:type="dxa"/>
            <w:tcBorders>
              <w:top w:val="nil"/>
              <w:left w:val="nil"/>
              <w:bottom w:val="nil"/>
              <w:right w:val="nil"/>
            </w:tcBorders>
            <w:shd w:val="clear" w:color="auto" w:fill="auto"/>
            <w:noWrap/>
            <w:vAlign w:val="bottom"/>
            <w:hideMark/>
          </w:tcPr>
          <w:p w14:paraId="2B8CB675"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RAM</w:t>
            </w:r>
          </w:p>
        </w:tc>
        <w:tc>
          <w:tcPr>
            <w:tcW w:w="1417" w:type="dxa"/>
            <w:tcBorders>
              <w:top w:val="nil"/>
              <w:left w:val="nil"/>
              <w:bottom w:val="nil"/>
              <w:right w:val="nil"/>
            </w:tcBorders>
            <w:shd w:val="clear" w:color="auto" w:fill="auto"/>
            <w:noWrap/>
            <w:vAlign w:val="bottom"/>
          </w:tcPr>
          <w:p w14:paraId="5040812B"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0.0826***</w:t>
            </w:r>
          </w:p>
        </w:tc>
        <w:tc>
          <w:tcPr>
            <w:tcW w:w="1697" w:type="dxa"/>
            <w:tcBorders>
              <w:top w:val="nil"/>
              <w:left w:val="nil"/>
              <w:bottom w:val="nil"/>
              <w:right w:val="nil"/>
            </w:tcBorders>
            <w:shd w:val="clear" w:color="auto" w:fill="auto"/>
            <w:noWrap/>
            <w:vAlign w:val="bottom"/>
          </w:tcPr>
          <w:p w14:paraId="55A82038"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2DE8D6C4"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0.0597***</w:t>
            </w:r>
          </w:p>
        </w:tc>
        <w:tc>
          <w:tcPr>
            <w:tcW w:w="1620" w:type="dxa"/>
            <w:tcBorders>
              <w:top w:val="nil"/>
              <w:left w:val="nil"/>
              <w:bottom w:val="nil"/>
              <w:right w:val="nil"/>
            </w:tcBorders>
            <w:shd w:val="clear" w:color="auto" w:fill="auto"/>
            <w:noWrap/>
            <w:vAlign w:val="bottom"/>
          </w:tcPr>
          <w:p w14:paraId="5883EF8C"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CC0FCE" w14:paraId="4FD2C24B" w14:textId="77777777" w:rsidTr="005436B9">
        <w:trPr>
          <w:trHeight w:val="275"/>
        </w:trPr>
        <w:tc>
          <w:tcPr>
            <w:tcW w:w="2672" w:type="dxa"/>
            <w:tcBorders>
              <w:top w:val="nil"/>
              <w:left w:val="nil"/>
              <w:bottom w:val="nil"/>
              <w:right w:val="nil"/>
            </w:tcBorders>
            <w:shd w:val="clear" w:color="auto" w:fill="auto"/>
            <w:noWrap/>
            <w:vAlign w:val="bottom"/>
            <w:hideMark/>
          </w:tcPr>
          <w:p w14:paraId="37884672" w14:textId="77777777" w:rsidR="001C51B9" w:rsidRPr="005436B9" w:rsidRDefault="001C51B9" w:rsidP="005436B9">
            <w:pPr>
              <w:spacing w:after="0" w:line="240" w:lineRule="auto"/>
              <w:jc w:val="center"/>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0203528B"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9.3604)</w:t>
            </w:r>
          </w:p>
        </w:tc>
        <w:tc>
          <w:tcPr>
            <w:tcW w:w="1697" w:type="dxa"/>
            <w:tcBorders>
              <w:top w:val="nil"/>
              <w:left w:val="nil"/>
              <w:bottom w:val="nil"/>
              <w:right w:val="nil"/>
            </w:tcBorders>
            <w:shd w:val="clear" w:color="auto" w:fill="auto"/>
            <w:noWrap/>
            <w:vAlign w:val="bottom"/>
          </w:tcPr>
          <w:p w14:paraId="54824AC7"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257B9B8C"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3.4328)</w:t>
            </w:r>
          </w:p>
        </w:tc>
        <w:tc>
          <w:tcPr>
            <w:tcW w:w="1620" w:type="dxa"/>
            <w:tcBorders>
              <w:top w:val="nil"/>
              <w:left w:val="nil"/>
              <w:bottom w:val="nil"/>
              <w:right w:val="nil"/>
            </w:tcBorders>
            <w:shd w:val="clear" w:color="auto" w:fill="auto"/>
            <w:noWrap/>
            <w:vAlign w:val="bottom"/>
          </w:tcPr>
          <w:p w14:paraId="120B1FE1"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CC0FCE" w14:paraId="553EE503" w14:textId="77777777" w:rsidTr="005436B9">
        <w:trPr>
          <w:trHeight w:val="275"/>
        </w:trPr>
        <w:tc>
          <w:tcPr>
            <w:tcW w:w="2672" w:type="dxa"/>
            <w:tcBorders>
              <w:top w:val="nil"/>
              <w:left w:val="nil"/>
              <w:bottom w:val="nil"/>
              <w:right w:val="nil"/>
            </w:tcBorders>
            <w:shd w:val="clear" w:color="auto" w:fill="auto"/>
            <w:noWrap/>
            <w:vAlign w:val="bottom"/>
            <w:hideMark/>
          </w:tcPr>
          <w:p w14:paraId="6374A2FE"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TAR</w:t>
            </w:r>
          </w:p>
        </w:tc>
        <w:tc>
          <w:tcPr>
            <w:tcW w:w="1417" w:type="dxa"/>
            <w:tcBorders>
              <w:top w:val="nil"/>
              <w:left w:val="nil"/>
              <w:bottom w:val="nil"/>
              <w:right w:val="nil"/>
            </w:tcBorders>
            <w:shd w:val="clear" w:color="auto" w:fill="auto"/>
            <w:noWrap/>
            <w:vAlign w:val="bottom"/>
          </w:tcPr>
          <w:p w14:paraId="0C9DCBC2"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1C9E9105"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0.0500***</w:t>
            </w:r>
          </w:p>
        </w:tc>
        <w:tc>
          <w:tcPr>
            <w:tcW w:w="1620" w:type="dxa"/>
            <w:tcBorders>
              <w:top w:val="nil"/>
              <w:left w:val="nil"/>
              <w:bottom w:val="nil"/>
              <w:right w:val="nil"/>
            </w:tcBorders>
            <w:shd w:val="clear" w:color="auto" w:fill="auto"/>
            <w:noWrap/>
            <w:vAlign w:val="bottom"/>
          </w:tcPr>
          <w:p w14:paraId="0A2E217F"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26C7ACDA"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0.0415***</w:t>
            </w:r>
          </w:p>
        </w:tc>
      </w:tr>
      <w:tr w:rsidR="001C51B9" w:rsidRPr="00CC0FCE" w14:paraId="152DB85C" w14:textId="77777777" w:rsidTr="005436B9">
        <w:trPr>
          <w:trHeight w:val="275"/>
        </w:trPr>
        <w:tc>
          <w:tcPr>
            <w:tcW w:w="2672" w:type="dxa"/>
            <w:tcBorders>
              <w:top w:val="nil"/>
              <w:left w:val="nil"/>
              <w:bottom w:val="nil"/>
              <w:right w:val="nil"/>
            </w:tcBorders>
            <w:shd w:val="clear" w:color="auto" w:fill="auto"/>
            <w:noWrap/>
            <w:vAlign w:val="bottom"/>
            <w:hideMark/>
          </w:tcPr>
          <w:p w14:paraId="68E4784F"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1FE84ED6"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2E251CF1"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8.2553)</w:t>
            </w:r>
          </w:p>
        </w:tc>
        <w:tc>
          <w:tcPr>
            <w:tcW w:w="1620" w:type="dxa"/>
            <w:tcBorders>
              <w:top w:val="nil"/>
              <w:left w:val="nil"/>
              <w:bottom w:val="nil"/>
              <w:right w:val="nil"/>
            </w:tcBorders>
            <w:shd w:val="clear" w:color="auto" w:fill="auto"/>
            <w:noWrap/>
            <w:vAlign w:val="bottom"/>
          </w:tcPr>
          <w:p w14:paraId="60D4220A"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452AC754"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3.6937)</w:t>
            </w:r>
          </w:p>
        </w:tc>
      </w:tr>
      <w:tr w:rsidR="001C51B9" w:rsidRPr="00CC0FCE" w14:paraId="048D3DF5" w14:textId="77777777" w:rsidTr="005436B9">
        <w:trPr>
          <w:trHeight w:val="275"/>
        </w:trPr>
        <w:tc>
          <w:tcPr>
            <w:tcW w:w="2672" w:type="dxa"/>
            <w:tcBorders>
              <w:top w:val="nil"/>
              <w:left w:val="nil"/>
              <w:bottom w:val="nil"/>
              <w:right w:val="nil"/>
            </w:tcBorders>
            <w:shd w:val="clear" w:color="auto" w:fill="auto"/>
            <w:noWrap/>
            <w:vAlign w:val="bottom"/>
          </w:tcPr>
          <w:p w14:paraId="160668E8"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AEM*LAW</w:t>
            </w:r>
          </w:p>
        </w:tc>
        <w:tc>
          <w:tcPr>
            <w:tcW w:w="1417" w:type="dxa"/>
            <w:tcBorders>
              <w:top w:val="nil"/>
              <w:left w:val="nil"/>
              <w:bottom w:val="nil"/>
              <w:right w:val="nil"/>
            </w:tcBorders>
            <w:shd w:val="clear" w:color="auto" w:fill="auto"/>
            <w:noWrap/>
            <w:vAlign w:val="bottom"/>
          </w:tcPr>
          <w:p w14:paraId="0EF34AB3"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26857445"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68CA3A3B"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-0.0045</w:t>
            </w:r>
          </w:p>
        </w:tc>
        <w:tc>
          <w:tcPr>
            <w:tcW w:w="1620" w:type="dxa"/>
            <w:tcBorders>
              <w:top w:val="nil"/>
              <w:left w:val="nil"/>
              <w:bottom w:val="nil"/>
              <w:right w:val="nil"/>
            </w:tcBorders>
            <w:shd w:val="clear" w:color="auto" w:fill="auto"/>
            <w:noWrap/>
            <w:vAlign w:val="bottom"/>
          </w:tcPr>
          <w:p w14:paraId="3128C7FF"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48665A4E" w14:textId="77777777" w:rsidTr="005436B9">
        <w:trPr>
          <w:trHeight w:val="275"/>
        </w:trPr>
        <w:tc>
          <w:tcPr>
            <w:tcW w:w="2672" w:type="dxa"/>
            <w:tcBorders>
              <w:top w:val="nil"/>
              <w:left w:val="nil"/>
              <w:bottom w:val="nil"/>
              <w:right w:val="nil"/>
            </w:tcBorders>
            <w:shd w:val="clear" w:color="auto" w:fill="auto"/>
            <w:noWrap/>
            <w:vAlign w:val="bottom"/>
          </w:tcPr>
          <w:p w14:paraId="398E9BF2"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2F0178BE"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6681E517"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203E9BEB"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(-0.3831)</w:t>
            </w:r>
          </w:p>
        </w:tc>
        <w:tc>
          <w:tcPr>
            <w:tcW w:w="1620" w:type="dxa"/>
            <w:tcBorders>
              <w:top w:val="nil"/>
              <w:left w:val="nil"/>
              <w:bottom w:val="nil"/>
              <w:right w:val="nil"/>
            </w:tcBorders>
            <w:shd w:val="clear" w:color="auto" w:fill="auto"/>
            <w:noWrap/>
            <w:vAlign w:val="bottom"/>
          </w:tcPr>
          <w:p w14:paraId="1CF043D1"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0823B9FC" w14:textId="77777777" w:rsidTr="005436B9">
        <w:trPr>
          <w:trHeight w:val="275"/>
        </w:trPr>
        <w:tc>
          <w:tcPr>
            <w:tcW w:w="2672" w:type="dxa"/>
            <w:tcBorders>
              <w:top w:val="nil"/>
              <w:left w:val="nil"/>
              <w:bottom w:val="nil"/>
              <w:right w:val="nil"/>
            </w:tcBorders>
            <w:shd w:val="clear" w:color="auto" w:fill="auto"/>
            <w:noWrap/>
            <w:vAlign w:val="bottom"/>
          </w:tcPr>
          <w:p w14:paraId="19A330B7"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RAM*LAW</w:t>
            </w:r>
          </w:p>
        </w:tc>
        <w:tc>
          <w:tcPr>
            <w:tcW w:w="1417" w:type="dxa"/>
            <w:tcBorders>
              <w:top w:val="nil"/>
              <w:left w:val="nil"/>
              <w:bottom w:val="nil"/>
              <w:right w:val="nil"/>
            </w:tcBorders>
            <w:shd w:val="clear" w:color="auto" w:fill="auto"/>
            <w:noWrap/>
            <w:vAlign w:val="bottom"/>
          </w:tcPr>
          <w:p w14:paraId="24908FCF"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58E9BBEF"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19DBA175"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Pr="005436B9">
              <w:rPr>
                <w:rFonts w:ascii="Times New Roman" w:hAnsi="Times New Roman" w:cs="Times New Roman"/>
                <w:color w:val="000000"/>
                <w:sz w:val="20"/>
                <w:szCs w:val="20"/>
              </w:rPr>
              <w:t>0.0183</w:t>
            </w:r>
            <w:r>
              <w:rPr>
                <w:rFonts w:ascii="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bottom"/>
          </w:tcPr>
          <w:p w14:paraId="19CDD2FB"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62A53350" w14:textId="77777777" w:rsidTr="005436B9">
        <w:trPr>
          <w:trHeight w:val="275"/>
        </w:trPr>
        <w:tc>
          <w:tcPr>
            <w:tcW w:w="2672" w:type="dxa"/>
            <w:tcBorders>
              <w:top w:val="nil"/>
              <w:left w:val="nil"/>
              <w:bottom w:val="nil"/>
              <w:right w:val="nil"/>
            </w:tcBorders>
            <w:shd w:val="clear" w:color="auto" w:fill="auto"/>
            <w:noWrap/>
            <w:vAlign w:val="bottom"/>
          </w:tcPr>
          <w:p w14:paraId="5DA2A102"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4307A6DD"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17993DA9"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6CDF39E9"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5436B9">
              <w:rPr>
                <w:rFonts w:ascii="Times New Roman" w:hAnsi="Times New Roman" w:cs="Times New Roman"/>
                <w:color w:val="000000"/>
                <w:sz w:val="20"/>
                <w:szCs w:val="20"/>
              </w:rPr>
              <w:t>.5297)</w:t>
            </w:r>
          </w:p>
        </w:tc>
        <w:tc>
          <w:tcPr>
            <w:tcW w:w="1620" w:type="dxa"/>
            <w:tcBorders>
              <w:top w:val="nil"/>
              <w:left w:val="nil"/>
              <w:bottom w:val="nil"/>
              <w:right w:val="nil"/>
            </w:tcBorders>
            <w:shd w:val="clear" w:color="auto" w:fill="auto"/>
            <w:noWrap/>
            <w:vAlign w:val="bottom"/>
          </w:tcPr>
          <w:p w14:paraId="4ABD7E5B"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203FA0C9" w14:textId="77777777" w:rsidTr="005436B9">
        <w:trPr>
          <w:trHeight w:val="275"/>
        </w:trPr>
        <w:tc>
          <w:tcPr>
            <w:tcW w:w="2672" w:type="dxa"/>
            <w:tcBorders>
              <w:top w:val="nil"/>
              <w:left w:val="nil"/>
              <w:bottom w:val="nil"/>
              <w:right w:val="nil"/>
            </w:tcBorders>
            <w:shd w:val="clear" w:color="auto" w:fill="auto"/>
            <w:noWrap/>
            <w:vAlign w:val="bottom"/>
          </w:tcPr>
          <w:p w14:paraId="76AE5E20"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TAR*LAW</w:t>
            </w:r>
          </w:p>
        </w:tc>
        <w:tc>
          <w:tcPr>
            <w:tcW w:w="1417" w:type="dxa"/>
            <w:tcBorders>
              <w:top w:val="nil"/>
              <w:left w:val="nil"/>
              <w:bottom w:val="nil"/>
              <w:right w:val="nil"/>
            </w:tcBorders>
            <w:shd w:val="clear" w:color="auto" w:fill="auto"/>
            <w:noWrap/>
            <w:vAlign w:val="bottom"/>
          </w:tcPr>
          <w:p w14:paraId="1A5DD834"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1D3C0FFF"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243E5998"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06FFD94A"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sidRPr="00AA0798">
              <w:rPr>
                <w:rFonts w:ascii="Times New Roman" w:hAnsi="Times New Roman" w:cs="Times New Roman"/>
                <w:color w:val="000000"/>
                <w:sz w:val="20"/>
                <w:szCs w:val="20"/>
              </w:rPr>
              <w:t>-0.0167*</w:t>
            </w:r>
          </w:p>
        </w:tc>
      </w:tr>
      <w:tr w:rsidR="001C51B9" w:rsidRPr="00CC0FCE" w14:paraId="4293D75A" w14:textId="77777777" w:rsidTr="005436B9">
        <w:trPr>
          <w:trHeight w:val="275"/>
        </w:trPr>
        <w:tc>
          <w:tcPr>
            <w:tcW w:w="2672" w:type="dxa"/>
            <w:tcBorders>
              <w:top w:val="nil"/>
              <w:left w:val="nil"/>
              <w:bottom w:val="nil"/>
              <w:right w:val="nil"/>
            </w:tcBorders>
            <w:shd w:val="clear" w:color="auto" w:fill="auto"/>
            <w:noWrap/>
            <w:vAlign w:val="bottom"/>
          </w:tcPr>
          <w:p w14:paraId="4407FBA3"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014D7409"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13692C41"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44D368D2"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20" w:type="dxa"/>
            <w:tcBorders>
              <w:top w:val="nil"/>
              <w:left w:val="nil"/>
              <w:bottom w:val="nil"/>
              <w:right w:val="nil"/>
            </w:tcBorders>
            <w:shd w:val="clear" w:color="auto" w:fill="auto"/>
            <w:noWrap/>
            <w:vAlign w:val="bottom"/>
          </w:tcPr>
          <w:p w14:paraId="7D690FE6"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sidRPr="00AA0798">
              <w:rPr>
                <w:rFonts w:ascii="Times New Roman" w:hAnsi="Times New Roman" w:cs="Times New Roman"/>
                <w:color w:val="000000"/>
                <w:sz w:val="20"/>
                <w:szCs w:val="20"/>
              </w:rPr>
              <w:t>(-1.9027)</w:t>
            </w:r>
          </w:p>
        </w:tc>
      </w:tr>
      <w:tr w:rsidR="001C51B9" w:rsidRPr="00CC0FCE" w14:paraId="63CE2D2F" w14:textId="77777777" w:rsidTr="005436B9">
        <w:trPr>
          <w:trHeight w:val="275"/>
        </w:trPr>
        <w:tc>
          <w:tcPr>
            <w:tcW w:w="2672" w:type="dxa"/>
            <w:tcBorders>
              <w:top w:val="nil"/>
              <w:left w:val="nil"/>
              <w:bottom w:val="nil"/>
              <w:right w:val="nil"/>
            </w:tcBorders>
            <w:shd w:val="clear" w:color="auto" w:fill="auto"/>
            <w:noWrap/>
            <w:vAlign w:val="bottom"/>
          </w:tcPr>
          <w:p w14:paraId="3CB967A5"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LAW</w:t>
            </w:r>
          </w:p>
        </w:tc>
        <w:tc>
          <w:tcPr>
            <w:tcW w:w="1417" w:type="dxa"/>
            <w:tcBorders>
              <w:top w:val="nil"/>
              <w:left w:val="nil"/>
              <w:bottom w:val="nil"/>
              <w:right w:val="nil"/>
            </w:tcBorders>
            <w:shd w:val="clear" w:color="auto" w:fill="auto"/>
            <w:noWrap/>
            <w:vAlign w:val="bottom"/>
          </w:tcPr>
          <w:p w14:paraId="2FC9F784"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72293CDF"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33112083"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0.0602**</w:t>
            </w:r>
          </w:p>
        </w:tc>
        <w:tc>
          <w:tcPr>
            <w:tcW w:w="1620" w:type="dxa"/>
            <w:tcBorders>
              <w:top w:val="nil"/>
              <w:left w:val="nil"/>
              <w:bottom w:val="nil"/>
              <w:right w:val="nil"/>
            </w:tcBorders>
            <w:shd w:val="clear" w:color="auto" w:fill="auto"/>
            <w:noWrap/>
            <w:vAlign w:val="bottom"/>
          </w:tcPr>
          <w:p w14:paraId="331911D7"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0.0550**</w:t>
            </w:r>
          </w:p>
        </w:tc>
      </w:tr>
      <w:tr w:rsidR="001C51B9" w:rsidRPr="00CC0FCE" w14:paraId="179FE95A" w14:textId="77777777" w:rsidTr="005436B9">
        <w:trPr>
          <w:trHeight w:val="275"/>
        </w:trPr>
        <w:tc>
          <w:tcPr>
            <w:tcW w:w="2672" w:type="dxa"/>
            <w:tcBorders>
              <w:top w:val="nil"/>
              <w:left w:val="nil"/>
              <w:bottom w:val="nil"/>
              <w:right w:val="nil"/>
            </w:tcBorders>
            <w:shd w:val="clear" w:color="auto" w:fill="auto"/>
            <w:noWrap/>
            <w:vAlign w:val="bottom"/>
          </w:tcPr>
          <w:p w14:paraId="77A85A3C"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417" w:type="dxa"/>
            <w:tcBorders>
              <w:top w:val="nil"/>
              <w:left w:val="nil"/>
              <w:bottom w:val="nil"/>
              <w:right w:val="nil"/>
            </w:tcBorders>
            <w:shd w:val="clear" w:color="auto" w:fill="auto"/>
            <w:noWrap/>
            <w:vAlign w:val="bottom"/>
          </w:tcPr>
          <w:p w14:paraId="109A9ACC"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16314646"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7B61ADD0"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(2.3002)</w:t>
            </w:r>
          </w:p>
        </w:tc>
        <w:tc>
          <w:tcPr>
            <w:tcW w:w="1620" w:type="dxa"/>
            <w:tcBorders>
              <w:top w:val="nil"/>
              <w:left w:val="nil"/>
              <w:bottom w:val="nil"/>
              <w:right w:val="nil"/>
            </w:tcBorders>
            <w:shd w:val="clear" w:color="auto" w:fill="auto"/>
            <w:noWrap/>
            <w:vAlign w:val="bottom"/>
          </w:tcPr>
          <w:p w14:paraId="6D560237"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(2.1133)</w:t>
            </w:r>
          </w:p>
        </w:tc>
      </w:tr>
      <w:tr w:rsidR="001C51B9" w:rsidRPr="00CC0FCE" w14:paraId="6EDD1928" w14:textId="77777777" w:rsidTr="005436B9">
        <w:trPr>
          <w:trHeight w:val="275"/>
        </w:trPr>
        <w:tc>
          <w:tcPr>
            <w:tcW w:w="2672" w:type="dxa"/>
            <w:tcBorders>
              <w:top w:val="nil"/>
              <w:left w:val="nil"/>
              <w:bottom w:val="nil"/>
              <w:right w:val="nil"/>
            </w:tcBorders>
            <w:shd w:val="clear" w:color="auto" w:fill="auto"/>
            <w:noWrap/>
            <w:vAlign w:val="bottom"/>
          </w:tcPr>
          <w:p w14:paraId="6CC7CE6D"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452508">
              <w:rPr>
                <w:rFonts w:ascii="Times New Roman" w:eastAsia="Times New Roman" w:hAnsi="Times New Roman" w:cs="Times New Roman"/>
                <w:sz w:val="20"/>
                <w:szCs w:val="20"/>
                <w:lang w:eastAsia="en-NZ"/>
              </w:rPr>
              <w:t>Constant</w:t>
            </w:r>
          </w:p>
        </w:tc>
        <w:tc>
          <w:tcPr>
            <w:tcW w:w="1417" w:type="dxa"/>
            <w:tcBorders>
              <w:top w:val="nil"/>
              <w:left w:val="nil"/>
              <w:bottom w:val="nil"/>
              <w:right w:val="nil"/>
            </w:tcBorders>
            <w:shd w:val="clear" w:color="auto" w:fill="auto"/>
            <w:noWrap/>
            <w:vAlign w:val="bottom"/>
          </w:tcPr>
          <w:p w14:paraId="4847164C"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-0.0816*</w:t>
            </w:r>
          </w:p>
        </w:tc>
        <w:tc>
          <w:tcPr>
            <w:tcW w:w="1697" w:type="dxa"/>
            <w:tcBorders>
              <w:top w:val="nil"/>
              <w:left w:val="nil"/>
              <w:bottom w:val="nil"/>
              <w:right w:val="nil"/>
            </w:tcBorders>
            <w:shd w:val="clear" w:color="auto" w:fill="auto"/>
            <w:noWrap/>
            <w:vAlign w:val="bottom"/>
          </w:tcPr>
          <w:p w14:paraId="6A2F2E42"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-0.0685</w:t>
            </w:r>
          </w:p>
        </w:tc>
        <w:tc>
          <w:tcPr>
            <w:tcW w:w="1620" w:type="dxa"/>
            <w:tcBorders>
              <w:top w:val="nil"/>
              <w:left w:val="nil"/>
              <w:bottom w:val="nil"/>
              <w:right w:val="nil"/>
            </w:tcBorders>
            <w:shd w:val="clear" w:color="auto" w:fill="auto"/>
            <w:noWrap/>
            <w:vAlign w:val="bottom"/>
          </w:tcPr>
          <w:p w14:paraId="2F0E9336"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-0.0752</w:t>
            </w:r>
          </w:p>
        </w:tc>
        <w:tc>
          <w:tcPr>
            <w:tcW w:w="1620" w:type="dxa"/>
            <w:tcBorders>
              <w:top w:val="nil"/>
              <w:left w:val="nil"/>
              <w:bottom w:val="nil"/>
              <w:right w:val="nil"/>
            </w:tcBorders>
            <w:shd w:val="clear" w:color="auto" w:fill="auto"/>
            <w:noWrap/>
            <w:vAlign w:val="bottom"/>
          </w:tcPr>
          <w:p w14:paraId="5D325469"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-0.0622</w:t>
            </w:r>
          </w:p>
        </w:tc>
      </w:tr>
      <w:tr w:rsidR="001C51B9" w:rsidRPr="00CC0FCE" w14:paraId="312FE787" w14:textId="77777777" w:rsidTr="005436B9">
        <w:trPr>
          <w:trHeight w:val="275"/>
        </w:trPr>
        <w:tc>
          <w:tcPr>
            <w:tcW w:w="2672" w:type="dxa"/>
            <w:tcBorders>
              <w:top w:val="nil"/>
              <w:left w:val="nil"/>
              <w:bottom w:val="nil"/>
              <w:right w:val="nil"/>
            </w:tcBorders>
            <w:shd w:val="clear" w:color="auto" w:fill="auto"/>
            <w:noWrap/>
            <w:vAlign w:val="bottom"/>
          </w:tcPr>
          <w:p w14:paraId="331B0BA4" w14:textId="77777777" w:rsidR="001C51B9" w:rsidRPr="00EA3310" w:rsidRDefault="001C51B9" w:rsidP="005436B9">
            <w:pPr>
              <w:spacing w:after="0" w:line="240" w:lineRule="auto"/>
              <w:rPr>
                <w:rFonts w:ascii="Times New Roman" w:eastAsia="Times New Roman" w:hAnsi="Times New Roman" w:cs="Times New Roman"/>
                <w:i/>
                <w:iCs/>
                <w:sz w:val="20"/>
                <w:szCs w:val="20"/>
                <w:lang w:eastAsia="en-NZ"/>
              </w:rPr>
            </w:pPr>
          </w:p>
        </w:tc>
        <w:tc>
          <w:tcPr>
            <w:tcW w:w="1417" w:type="dxa"/>
            <w:tcBorders>
              <w:top w:val="nil"/>
              <w:left w:val="nil"/>
              <w:bottom w:val="nil"/>
              <w:right w:val="nil"/>
            </w:tcBorders>
            <w:shd w:val="clear" w:color="auto" w:fill="auto"/>
            <w:noWrap/>
            <w:vAlign w:val="bottom"/>
          </w:tcPr>
          <w:p w14:paraId="2F9A7303"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(-1.6653)</w:t>
            </w:r>
          </w:p>
        </w:tc>
        <w:tc>
          <w:tcPr>
            <w:tcW w:w="1697" w:type="dxa"/>
            <w:tcBorders>
              <w:top w:val="nil"/>
              <w:left w:val="nil"/>
              <w:bottom w:val="nil"/>
              <w:right w:val="nil"/>
            </w:tcBorders>
            <w:shd w:val="clear" w:color="auto" w:fill="auto"/>
            <w:noWrap/>
            <w:vAlign w:val="bottom"/>
          </w:tcPr>
          <w:p w14:paraId="533B0B29"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(-1.4010)</w:t>
            </w:r>
          </w:p>
        </w:tc>
        <w:tc>
          <w:tcPr>
            <w:tcW w:w="1620" w:type="dxa"/>
            <w:tcBorders>
              <w:top w:val="nil"/>
              <w:left w:val="nil"/>
              <w:bottom w:val="nil"/>
              <w:right w:val="nil"/>
            </w:tcBorders>
            <w:shd w:val="clear" w:color="auto" w:fill="auto"/>
            <w:noWrap/>
            <w:vAlign w:val="bottom"/>
          </w:tcPr>
          <w:p w14:paraId="1B281244"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(-1.5167)</w:t>
            </w:r>
          </w:p>
        </w:tc>
        <w:tc>
          <w:tcPr>
            <w:tcW w:w="1620" w:type="dxa"/>
            <w:tcBorders>
              <w:top w:val="nil"/>
              <w:left w:val="nil"/>
              <w:bottom w:val="nil"/>
              <w:right w:val="nil"/>
            </w:tcBorders>
            <w:shd w:val="clear" w:color="auto" w:fill="auto"/>
            <w:noWrap/>
            <w:vAlign w:val="bottom"/>
          </w:tcPr>
          <w:p w14:paraId="6B518388"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(-1.2514)</w:t>
            </w:r>
          </w:p>
        </w:tc>
      </w:tr>
      <w:tr w:rsidR="001C51B9" w:rsidRPr="00CC0FCE" w14:paraId="16782F2C" w14:textId="77777777" w:rsidTr="005436B9">
        <w:trPr>
          <w:trHeight w:val="275"/>
        </w:trPr>
        <w:tc>
          <w:tcPr>
            <w:tcW w:w="2672" w:type="dxa"/>
            <w:tcBorders>
              <w:top w:val="nil"/>
              <w:left w:val="nil"/>
              <w:bottom w:val="nil"/>
              <w:right w:val="nil"/>
            </w:tcBorders>
            <w:shd w:val="clear" w:color="auto" w:fill="auto"/>
            <w:noWrap/>
            <w:vAlign w:val="bottom"/>
          </w:tcPr>
          <w:p w14:paraId="15D1E7E8" w14:textId="77777777" w:rsidR="001C51B9" w:rsidRPr="00EA3310" w:rsidRDefault="001C51B9" w:rsidP="005436B9">
            <w:pPr>
              <w:spacing w:after="0" w:line="240" w:lineRule="auto"/>
              <w:rPr>
                <w:rFonts w:ascii="Times New Roman" w:eastAsia="Times New Roman" w:hAnsi="Times New Roman" w:cs="Times New Roman"/>
                <w:sz w:val="20"/>
                <w:szCs w:val="20"/>
                <w:lang w:eastAsia="en-NZ"/>
              </w:rPr>
            </w:pPr>
            <w:r w:rsidRPr="00EA3310">
              <w:rPr>
                <w:rFonts w:ascii="Times New Roman" w:eastAsia="Times New Roman" w:hAnsi="Times New Roman" w:cs="Times New Roman"/>
                <w:sz w:val="20"/>
                <w:szCs w:val="20"/>
                <w:lang w:eastAsia="en-NZ"/>
              </w:rPr>
              <w:t>RAM-AEM</w:t>
            </w:r>
          </w:p>
        </w:tc>
        <w:tc>
          <w:tcPr>
            <w:tcW w:w="1417" w:type="dxa"/>
            <w:tcBorders>
              <w:top w:val="nil"/>
              <w:left w:val="nil"/>
              <w:bottom w:val="nil"/>
              <w:right w:val="nil"/>
            </w:tcBorders>
            <w:shd w:val="clear" w:color="auto" w:fill="auto"/>
            <w:noWrap/>
            <w:vAlign w:val="bottom"/>
          </w:tcPr>
          <w:p w14:paraId="30BA7C29"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-0.0631***</w:t>
            </w:r>
          </w:p>
        </w:tc>
        <w:tc>
          <w:tcPr>
            <w:tcW w:w="1697" w:type="dxa"/>
            <w:tcBorders>
              <w:top w:val="nil"/>
              <w:left w:val="nil"/>
              <w:bottom w:val="nil"/>
              <w:right w:val="nil"/>
            </w:tcBorders>
            <w:shd w:val="clear" w:color="auto" w:fill="auto"/>
            <w:noWrap/>
            <w:vAlign w:val="bottom"/>
          </w:tcPr>
          <w:p w14:paraId="7D39F24E"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33118A21"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-0.0343</w:t>
            </w:r>
          </w:p>
        </w:tc>
        <w:tc>
          <w:tcPr>
            <w:tcW w:w="1620" w:type="dxa"/>
            <w:tcBorders>
              <w:top w:val="nil"/>
              <w:left w:val="nil"/>
              <w:bottom w:val="nil"/>
              <w:right w:val="nil"/>
            </w:tcBorders>
            <w:shd w:val="clear" w:color="auto" w:fill="auto"/>
            <w:noWrap/>
            <w:vAlign w:val="bottom"/>
          </w:tcPr>
          <w:p w14:paraId="42ECEE21"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7F02CF8F" w14:textId="77777777" w:rsidTr="005436B9">
        <w:trPr>
          <w:trHeight w:val="275"/>
        </w:trPr>
        <w:tc>
          <w:tcPr>
            <w:tcW w:w="2672" w:type="dxa"/>
            <w:tcBorders>
              <w:top w:val="nil"/>
              <w:left w:val="nil"/>
              <w:bottom w:val="nil"/>
              <w:right w:val="nil"/>
            </w:tcBorders>
            <w:shd w:val="clear" w:color="auto" w:fill="auto"/>
            <w:noWrap/>
            <w:vAlign w:val="bottom"/>
          </w:tcPr>
          <w:p w14:paraId="1BB673E4" w14:textId="77777777" w:rsidR="001C51B9" w:rsidRPr="00CC0FCE" w:rsidRDefault="001C51B9" w:rsidP="005436B9">
            <w:pPr>
              <w:spacing w:after="0" w:line="240" w:lineRule="auto"/>
              <w:rPr>
                <w:rFonts w:ascii="Times New Roman" w:eastAsia="Times New Roman" w:hAnsi="Times New Roman" w:cs="Times New Roman"/>
                <w:i/>
                <w:iCs/>
                <w:sz w:val="20"/>
                <w:szCs w:val="20"/>
                <w:lang w:eastAsia="en-NZ"/>
              </w:rPr>
            </w:pPr>
            <w:r>
              <w:rPr>
                <w:rFonts w:ascii="Times New Roman" w:eastAsia="Times New Roman" w:hAnsi="Times New Roman" w:cs="Times New Roman"/>
                <w:i/>
                <w:iCs/>
                <w:sz w:val="20"/>
                <w:szCs w:val="20"/>
                <w:lang w:eastAsia="en-NZ"/>
              </w:rPr>
              <w:t>(F-statistics)</w:t>
            </w:r>
          </w:p>
        </w:tc>
        <w:tc>
          <w:tcPr>
            <w:tcW w:w="1417" w:type="dxa"/>
            <w:tcBorders>
              <w:top w:val="nil"/>
              <w:left w:val="nil"/>
              <w:bottom w:val="nil"/>
              <w:right w:val="nil"/>
            </w:tcBorders>
            <w:shd w:val="clear" w:color="auto" w:fill="auto"/>
            <w:noWrap/>
            <w:vAlign w:val="bottom"/>
          </w:tcPr>
          <w:p w14:paraId="4188C18D"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[26.28]</w:t>
            </w:r>
          </w:p>
        </w:tc>
        <w:tc>
          <w:tcPr>
            <w:tcW w:w="1697" w:type="dxa"/>
            <w:tcBorders>
              <w:top w:val="nil"/>
              <w:left w:val="nil"/>
              <w:bottom w:val="nil"/>
              <w:right w:val="nil"/>
            </w:tcBorders>
            <w:shd w:val="clear" w:color="auto" w:fill="auto"/>
            <w:noWrap/>
            <w:vAlign w:val="bottom"/>
          </w:tcPr>
          <w:p w14:paraId="36762241"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6D0CDDE5"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[1.79]</w:t>
            </w:r>
          </w:p>
        </w:tc>
        <w:tc>
          <w:tcPr>
            <w:tcW w:w="1620" w:type="dxa"/>
            <w:tcBorders>
              <w:top w:val="nil"/>
              <w:left w:val="nil"/>
              <w:bottom w:val="nil"/>
              <w:right w:val="nil"/>
            </w:tcBorders>
            <w:shd w:val="clear" w:color="auto" w:fill="auto"/>
            <w:noWrap/>
            <w:vAlign w:val="bottom"/>
          </w:tcPr>
          <w:p w14:paraId="21A98292"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59EDBDE6" w14:textId="77777777" w:rsidTr="005436B9">
        <w:trPr>
          <w:trHeight w:val="275"/>
        </w:trPr>
        <w:tc>
          <w:tcPr>
            <w:tcW w:w="4089" w:type="dxa"/>
            <w:gridSpan w:val="2"/>
            <w:tcBorders>
              <w:top w:val="nil"/>
              <w:left w:val="nil"/>
              <w:bottom w:val="nil"/>
              <w:right w:val="nil"/>
            </w:tcBorders>
            <w:shd w:val="clear" w:color="auto" w:fill="auto"/>
            <w:noWrap/>
            <w:vAlign w:val="bottom"/>
          </w:tcPr>
          <w:p w14:paraId="29E1ADD1" w14:textId="77777777" w:rsidR="001C51B9" w:rsidRPr="00AA0798" w:rsidRDefault="001C51B9" w:rsidP="005436B9">
            <w:pPr>
              <w:spacing w:after="0" w:line="240" w:lineRule="auto"/>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RAM*LAW-AEM*LAW</w:t>
            </w:r>
          </w:p>
        </w:tc>
        <w:tc>
          <w:tcPr>
            <w:tcW w:w="1697" w:type="dxa"/>
            <w:tcBorders>
              <w:top w:val="nil"/>
              <w:left w:val="nil"/>
              <w:bottom w:val="nil"/>
              <w:right w:val="nil"/>
            </w:tcBorders>
            <w:shd w:val="clear" w:color="auto" w:fill="auto"/>
            <w:noWrap/>
            <w:vAlign w:val="bottom"/>
          </w:tcPr>
          <w:p w14:paraId="51D5F0FC"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178AC705"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-0.0138</w:t>
            </w:r>
          </w:p>
        </w:tc>
        <w:tc>
          <w:tcPr>
            <w:tcW w:w="1620" w:type="dxa"/>
            <w:tcBorders>
              <w:top w:val="nil"/>
              <w:left w:val="nil"/>
              <w:bottom w:val="nil"/>
              <w:right w:val="nil"/>
            </w:tcBorders>
            <w:shd w:val="clear" w:color="auto" w:fill="auto"/>
            <w:noWrap/>
            <w:vAlign w:val="bottom"/>
          </w:tcPr>
          <w:p w14:paraId="4201CBA1"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27342AF3" w14:textId="77777777" w:rsidTr="005436B9">
        <w:trPr>
          <w:trHeight w:val="275"/>
        </w:trPr>
        <w:tc>
          <w:tcPr>
            <w:tcW w:w="2672" w:type="dxa"/>
            <w:tcBorders>
              <w:top w:val="nil"/>
              <w:left w:val="nil"/>
              <w:bottom w:val="nil"/>
              <w:right w:val="nil"/>
            </w:tcBorders>
            <w:shd w:val="clear" w:color="auto" w:fill="auto"/>
            <w:noWrap/>
            <w:vAlign w:val="bottom"/>
          </w:tcPr>
          <w:p w14:paraId="109AF54D" w14:textId="77777777" w:rsidR="001C51B9" w:rsidRPr="00CC0FCE" w:rsidRDefault="001C51B9" w:rsidP="005436B9">
            <w:pPr>
              <w:spacing w:after="0" w:line="240" w:lineRule="auto"/>
              <w:rPr>
                <w:rFonts w:ascii="Times New Roman" w:eastAsia="Times New Roman" w:hAnsi="Times New Roman" w:cs="Times New Roman"/>
                <w:i/>
                <w:iCs/>
                <w:sz w:val="20"/>
                <w:szCs w:val="20"/>
                <w:lang w:eastAsia="en-NZ"/>
              </w:rPr>
            </w:pPr>
            <w:r>
              <w:rPr>
                <w:rFonts w:ascii="Times New Roman" w:eastAsia="Times New Roman" w:hAnsi="Times New Roman" w:cs="Times New Roman"/>
                <w:i/>
                <w:iCs/>
                <w:sz w:val="20"/>
                <w:szCs w:val="20"/>
                <w:lang w:eastAsia="en-NZ"/>
              </w:rPr>
              <w:t>(F-statistics)</w:t>
            </w:r>
          </w:p>
        </w:tc>
        <w:tc>
          <w:tcPr>
            <w:tcW w:w="1417" w:type="dxa"/>
            <w:tcBorders>
              <w:top w:val="nil"/>
              <w:left w:val="nil"/>
              <w:bottom w:val="nil"/>
              <w:right w:val="nil"/>
            </w:tcBorders>
            <w:shd w:val="clear" w:color="auto" w:fill="auto"/>
            <w:noWrap/>
            <w:vAlign w:val="bottom"/>
          </w:tcPr>
          <w:p w14:paraId="23C14F29"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4A06969C"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79CCB9C8"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1620" w:type="dxa"/>
            <w:tcBorders>
              <w:top w:val="nil"/>
              <w:left w:val="nil"/>
              <w:bottom w:val="nil"/>
              <w:right w:val="nil"/>
            </w:tcBorders>
            <w:shd w:val="clear" w:color="auto" w:fill="auto"/>
            <w:noWrap/>
            <w:vAlign w:val="bottom"/>
          </w:tcPr>
          <w:p w14:paraId="3E002910"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059C7BD4" w14:textId="77777777" w:rsidTr="005436B9">
        <w:trPr>
          <w:trHeight w:val="275"/>
        </w:trPr>
        <w:tc>
          <w:tcPr>
            <w:tcW w:w="4089" w:type="dxa"/>
            <w:gridSpan w:val="2"/>
            <w:tcBorders>
              <w:top w:val="nil"/>
              <w:left w:val="nil"/>
              <w:bottom w:val="nil"/>
              <w:right w:val="nil"/>
            </w:tcBorders>
            <w:shd w:val="clear" w:color="auto" w:fill="auto"/>
            <w:noWrap/>
            <w:vAlign w:val="bottom"/>
          </w:tcPr>
          <w:p w14:paraId="1760617B" w14:textId="77777777" w:rsidR="001C51B9" w:rsidRPr="00AA0798" w:rsidRDefault="001C51B9" w:rsidP="005436B9">
            <w:pPr>
              <w:spacing w:after="0" w:line="240" w:lineRule="auto"/>
              <w:rPr>
                <w:rFonts w:ascii="Times New Roman" w:eastAsia="Times New Roman" w:hAnsi="Times New Roman" w:cs="Times New Roman"/>
                <w:sz w:val="20"/>
                <w:szCs w:val="20"/>
                <w:lang w:eastAsia="en-NZ"/>
              </w:rPr>
            </w:pPr>
            <w:r w:rsidRPr="00AA0798">
              <w:rPr>
                <w:rFonts w:ascii="Times New Roman" w:hAnsi="Times New Roman" w:cs="Times New Roman"/>
                <w:color w:val="000000"/>
                <w:sz w:val="20"/>
                <w:szCs w:val="20"/>
              </w:rPr>
              <w:t>[RAM+RAM*LAW]-[AEM+AEM*LAW]</w:t>
            </w:r>
          </w:p>
        </w:tc>
        <w:tc>
          <w:tcPr>
            <w:tcW w:w="1697" w:type="dxa"/>
            <w:tcBorders>
              <w:top w:val="nil"/>
              <w:left w:val="nil"/>
              <w:bottom w:val="nil"/>
              <w:right w:val="nil"/>
            </w:tcBorders>
            <w:shd w:val="clear" w:color="auto" w:fill="auto"/>
            <w:noWrap/>
            <w:vAlign w:val="bottom"/>
          </w:tcPr>
          <w:p w14:paraId="67885DCF"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7583BBE4"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-0.0481</w:t>
            </w:r>
          </w:p>
        </w:tc>
        <w:tc>
          <w:tcPr>
            <w:tcW w:w="1620" w:type="dxa"/>
            <w:tcBorders>
              <w:top w:val="nil"/>
              <w:left w:val="nil"/>
              <w:bottom w:val="nil"/>
              <w:right w:val="nil"/>
            </w:tcBorders>
            <w:shd w:val="clear" w:color="auto" w:fill="auto"/>
            <w:noWrap/>
            <w:vAlign w:val="bottom"/>
          </w:tcPr>
          <w:p w14:paraId="59CC1708"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4058834B" w14:textId="77777777" w:rsidTr="005436B9">
        <w:trPr>
          <w:trHeight w:val="275"/>
        </w:trPr>
        <w:tc>
          <w:tcPr>
            <w:tcW w:w="2672" w:type="dxa"/>
            <w:tcBorders>
              <w:top w:val="nil"/>
              <w:left w:val="nil"/>
              <w:bottom w:val="nil"/>
              <w:right w:val="nil"/>
            </w:tcBorders>
            <w:shd w:val="clear" w:color="auto" w:fill="auto"/>
            <w:noWrap/>
            <w:vAlign w:val="bottom"/>
          </w:tcPr>
          <w:p w14:paraId="5F473966" w14:textId="77777777" w:rsidR="001C51B9" w:rsidRPr="00CC0FCE" w:rsidRDefault="001C51B9" w:rsidP="005436B9">
            <w:pPr>
              <w:spacing w:after="0" w:line="240" w:lineRule="auto"/>
              <w:rPr>
                <w:rFonts w:ascii="Times New Roman" w:eastAsia="Times New Roman" w:hAnsi="Times New Roman" w:cs="Times New Roman"/>
                <w:i/>
                <w:iCs/>
                <w:sz w:val="20"/>
                <w:szCs w:val="20"/>
                <w:lang w:eastAsia="en-NZ"/>
              </w:rPr>
            </w:pPr>
            <w:r>
              <w:rPr>
                <w:rFonts w:ascii="Times New Roman" w:eastAsia="Times New Roman" w:hAnsi="Times New Roman" w:cs="Times New Roman"/>
                <w:i/>
                <w:iCs/>
                <w:sz w:val="20"/>
                <w:szCs w:val="20"/>
                <w:lang w:eastAsia="en-NZ"/>
              </w:rPr>
              <w:t>(F-statistics)</w:t>
            </w:r>
          </w:p>
        </w:tc>
        <w:tc>
          <w:tcPr>
            <w:tcW w:w="1417" w:type="dxa"/>
            <w:tcBorders>
              <w:top w:val="nil"/>
              <w:left w:val="nil"/>
              <w:bottom w:val="nil"/>
              <w:right w:val="nil"/>
            </w:tcBorders>
            <w:shd w:val="clear" w:color="auto" w:fill="auto"/>
            <w:noWrap/>
            <w:vAlign w:val="bottom"/>
          </w:tcPr>
          <w:p w14:paraId="4A71DF89"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p>
        </w:tc>
        <w:tc>
          <w:tcPr>
            <w:tcW w:w="1697" w:type="dxa"/>
            <w:tcBorders>
              <w:top w:val="nil"/>
              <w:left w:val="nil"/>
              <w:bottom w:val="nil"/>
              <w:right w:val="nil"/>
            </w:tcBorders>
            <w:shd w:val="clear" w:color="auto" w:fill="auto"/>
            <w:noWrap/>
            <w:vAlign w:val="bottom"/>
          </w:tcPr>
          <w:p w14:paraId="0D9970AD"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tcPr>
          <w:p w14:paraId="52845185" w14:textId="77777777" w:rsidR="001C51B9" w:rsidRPr="00AA0798" w:rsidRDefault="001C51B9" w:rsidP="005436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[18.98]</w:t>
            </w:r>
          </w:p>
        </w:tc>
        <w:tc>
          <w:tcPr>
            <w:tcW w:w="1620" w:type="dxa"/>
            <w:tcBorders>
              <w:top w:val="nil"/>
              <w:left w:val="nil"/>
              <w:bottom w:val="nil"/>
              <w:right w:val="nil"/>
            </w:tcBorders>
            <w:shd w:val="clear" w:color="auto" w:fill="auto"/>
            <w:noWrap/>
            <w:vAlign w:val="bottom"/>
          </w:tcPr>
          <w:p w14:paraId="39384FC1" w14:textId="77777777" w:rsidR="001C51B9" w:rsidRPr="00AA0798" w:rsidRDefault="001C51B9" w:rsidP="005436B9">
            <w:pPr>
              <w:spacing w:after="0" w:line="240" w:lineRule="auto"/>
              <w:jc w:val="center"/>
              <w:rPr>
                <w:rFonts w:ascii="Times New Roman" w:hAnsi="Times New Roman" w:cs="Times New Roman"/>
                <w:color w:val="000000"/>
                <w:sz w:val="20"/>
                <w:szCs w:val="20"/>
              </w:rPr>
            </w:pPr>
          </w:p>
        </w:tc>
      </w:tr>
      <w:tr w:rsidR="001C51B9" w:rsidRPr="00CC0FCE" w14:paraId="76B0AD63" w14:textId="77777777" w:rsidTr="005436B9">
        <w:trPr>
          <w:trHeight w:val="81"/>
        </w:trPr>
        <w:tc>
          <w:tcPr>
            <w:tcW w:w="2672" w:type="dxa"/>
            <w:tcBorders>
              <w:top w:val="nil"/>
              <w:left w:val="nil"/>
              <w:bottom w:val="nil"/>
              <w:right w:val="nil"/>
            </w:tcBorders>
            <w:shd w:val="clear" w:color="auto" w:fill="auto"/>
            <w:noWrap/>
            <w:vAlign w:val="bottom"/>
            <w:hideMark/>
          </w:tcPr>
          <w:p w14:paraId="1EB1A878"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Controls</w:t>
            </w:r>
          </w:p>
        </w:tc>
        <w:tc>
          <w:tcPr>
            <w:tcW w:w="1417" w:type="dxa"/>
            <w:tcBorders>
              <w:top w:val="nil"/>
              <w:left w:val="nil"/>
              <w:bottom w:val="nil"/>
              <w:right w:val="nil"/>
            </w:tcBorders>
            <w:shd w:val="clear" w:color="auto" w:fill="auto"/>
            <w:noWrap/>
          </w:tcPr>
          <w:p w14:paraId="2098BD5E"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97" w:type="dxa"/>
            <w:tcBorders>
              <w:top w:val="nil"/>
              <w:left w:val="nil"/>
              <w:bottom w:val="nil"/>
              <w:right w:val="nil"/>
            </w:tcBorders>
            <w:shd w:val="clear" w:color="auto" w:fill="auto"/>
            <w:noWrap/>
          </w:tcPr>
          <w:p w14:paraId="1EA5745A"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20" w:type="dxa"/>
            <w:tcBorders>
              <w:top w:val="nil"/>
              <w:left w:val="nil"/>
              <w:bottom w:val="nil"/>
              <w:right w:val="nil"/>
            </w:tcBorders>
            <w:shd w:val="clear" w:color="auto" w:fill="auto"/>
            <w:noWrap/>
          </w:tcPr>
          <w:p w14:paraId="4C6D52D2"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20" w:type="dxa"/>
            <w:tcBorders>
              <w:top w:val="nil"/>
              <w:left w:val="nil"/>
              <w:bottom w:val="nil"/>
              <w:right w:val="nil"/>
            </w:tcBorders>
            <w:shd w:val="clear" w:color="auto" w:fill="auto"/>
            <w:noWrap/>
          </w:tcPr>
          <w:p w14:paraId="190F2FFD"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r>
      <w:tr w:rsidR="001C51B9" w:rsidRPr="00CC0FCE" w14:paraId="2F23AAC1" w14:textId="77777777" w:rsidTr="005436B9">
        <w:trPr>
          <w:trHeight w:val="81"/>
        </w:trPr>
        <w:tc>
          <w:tcPr>
            <w:tcW w:w="2672" w:type="dxa"/>
            <w:tcBorders>
              <w:top w:val="nil"/>
              <w:left w:val="nil"/>
              <w:bottom w:val="nil"/>
              <w:right w:val="nil"/>
            </w:tcBorders>
            <w:shd w:val="clear" w:color="auto" w:fill="auto"/>
            <w:noWrap/>
            <w:vAlign w:val="bottom"/>
            <w:hideMark/>
          </w:tcPr>
          <w:p w14:paraId="72F89CCF"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Industry FE</w:t>
            </w:r>
          </w:p>
        </w:tc>
        <w:tc>
          <w:tcPr>
            <w:tcW w:w="1417" w:type="dxa"/>
            <w:tcBorders>
              <w:top w:val="nil"/>
              <w:left w:val="nil"/>
              <w:bottom w:val="nil"/>
              <w:right w:val="nil"/>
            </w:tcBorders>
            <w:shd w:val="clear" w:color="auto" w:fill="auto"/>
            <w:noWrap/>
            <w:vAlign w:val="bottom"/>
            <w:hideMark/>
          </w:tcPr>
          <w:p w14:paraId="46A49621"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97" w:type="dxa"/>
            <w:tcBorders>
              <w:top w:val="nil"/>
              <w:left w:val="nil"/>
              <w:bottom w:val="nil"/>
              <w:right w:val="nil"/>
            </w:tcBorders>
            <w:shd w:val="clear" w:color="auto" w:fill="auto"/>
            <w:noWrap/>
            <w:vAlign w:val="bottom"/>
            <w:hideMark/>
          </w:tcPr>
          <w:p w14:paraId="33203D3E"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20" w:type="dxa"/>
            <w:tcBorders>
              <w:top w:val="nil"/>
              <w:left w:val="nil"/>
              <w:bottom w:val="nil"/>
              <w:right w:val="nil"/>
            </w:tcBorders>
            <w:shd w:val="clear" w:color="auto" w:fill="auto"/>
            <w:noWrap/>
            <w:vAlign w:val="bottom"/>
            <w:hideMark/>
          </w:tcPr>
          <w:p w14:paraId="76DA3169"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20" w:type="dxa"/>
            <w:tcBorders>
              <w:top w:val="nil"/>
              <w:left w:val="nil"/>
              <w:bottom w:val="nil"/>
              <w:right w:val="nil"/>
            </w:tcBorders>
            <w:shd w:val="clear" w:color="auto" w:fill="auto"/>
            <w:noWrap/>
            <w:vAlign w:val="bottom"/>
            <w:hideMark/>
          </w:tcPr>
          <w:p w14:paraId="2BA68AB2"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r>
      <w:tr w:rsidR="001C51B9" w:rsidRPr="00CC0FCE" w14:paraId="02ADB15A" w14:textId="77777777" w:rsidTr="005436B9">
        <w:trPr>
          <w:trHeight w:val="81"/>
        </w:trPr>
        <w:tc>
          <w:tcPr>
            <w:tcW w:w="2672" w:type="dxa"/>
            <w:tcBorders>
              <w:top w:val="nil"/>
              <w:left w:val="nil"/>
              <w:bottom w:val="nil"/>
              <w:right w:val="nil"/>
            </w:tcBorders>
            <w:shd w:val="clear" w:color="auto" w:fill="auto"/>
            <w:noWrap/>
            <w:vAlign w:val="bottom"/>
            <w:hideMark/>
          </w:tcPr>
          <w:p w14:paraId="065A6AA9"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Year FE</w:t>
            </w:r>
          </w:p>
        </w:tc>
        <w:tc>
          <w:tcPr>
            <w:tcW w:w="1417" w:type="dxa"/>
            <w:tcBorders>
              <w:top w:val="nil"/>
              <w:left w:val="nil"/>
              <w:bottom w:val="nil"/>
              <w:right w:val="nil"/>
            </w:tcBorders>
            <w:shd w:val="clear" w:color="auto" w:fill="auto"/>
            <w:noWrap/>
            <w:vAlign w:val="bottom"/>
            <w:hideMark/>
          </w:tcPr>
          <w:p w14:paraId="55BA7FE1"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97" w:type="dxa"/>
            <w:tcBorders>
              <w:top w:val="nil"/>
              <w:left w:val="nil"/>
              <w:bottom w:val="nil"/>
              <w:right w:val="nil"/>
            </w:tcBorders>
            <w:shd w:val="clear" w:color="auto" w:fill="auto"/>
            <w:noWrap/>
            <w:vAlign w:val="bottom"/>
            <w:hideMark/>
          </w:tcPr>
          <w:p w14:paraId="6EC8B433"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20" w:type="dxa"/>
            <w:tcBorders>
              <w:top w:val="nil"/>
              <w:left w:val="nil"/>
              <w:bottom w:val="nil"/>
              <w:right w:val="nil"/>
            </w:tcBorders>
            <w:shd w:val="clear" w:color="auto" w:fill="auto"/>
            <w:noWrap/>
            <w:vAlign w:val="bottom"/>
            <w:hideMark/>
          </w:tcPr>
          <w:p w14:paraId="24B60416"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c>
          <w:tcPr>
            <w:tcW w:w="1620" w:type="dxa"/>
            <w:tcBorders>
              <w:top w:val="nil"/>
              <w:left w:val="nil"/>
              <w:bottom w:val="nil"/>
              <w:right w:val="nil"/>
            </w:tcBorders>
            <w:shd w:val="clear" w:color="auto" w:fill="auto"/>
            <w:noWrap/>
            <w:vAlign w:val="bottom"/>
            <w:hideMark/>
          </w:tcPr>
          <w:p w14:paraId="75C787B2"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sz w:val="20"/>
                <w:szCs w:val="20"/>
                <w:lang w:eastAsia="en-NZ"/>
              </w:rPr>
              <w:t>Yes</w:t>
            </w:r>
          </w:p>
        </w:tc>
      </w:tr>
      <w:tr w:rsidR="001C51B9" w:rsidRPr="00CC0FCE" w14:paraId="22FE1D9C" w14:textId="77777777" w:rsidTr="005436B9">
        <w:trPr>
          <w:trHeight w:val="81"/>
        </w:trPr>
        <w:tc>
          <w:tcPr>
            <w:tcW w:w="2672" w:type="dxa"/>
            <w:tcBorders>
              <w:top w:val="nil"/>
              <w:left w:val="nil"/>
              <w:right w:val="nil"/>
            </w:tcBorders>
            <w:shd w:val="clear" w:color="auto" w:fill="auto"/>
            <w:noWrap/>
            <w:vAlign w:val="bottom"/>
            <w:hideMark/>
          </w:tcPr>
          <w:p w14:paraId="5C797C92"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Observations</w:t>
            </w:r>
          </w:p>
        </w:tc>
        <w:tc>
          <w:tcPr>
            <w:tcW w:w="1417" w:type="dxa"/>
            <w:tcBorders>
              <w:top w:val="nil"/>
              <w:left w:val="nil"/>
              <w:right w:val="nil"/>
            </w:tcBorders>
            <w:shd w:val="clear" w:color="auto" w:fill="auto"/>
            <w:noWrap/>
            <w:vAlign w:val="bottom"/>
            <w:hideMark/>
          </w:tcPr>
          <w:p w14:paraId="3BACD3B2"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color w:val="000000"/>
                <w:sz w:val="20"/>
                <w:szCs w:val="20"/>
                <w:lang w:eastAsia="en-NZ"/>
              </w:rPr>
              <w:t>11,764</w:t>
            </w:r>
          </w:p>
        </w:tc>
        <w:tc>
          <w:tcPr>
            <w:tcW w:w="1697" w:type="dxa"/>
            <w:tcBorders>
              <w:top w:val="nil"/>
              <w:left w:val="nil"/>
              <w:right w:val="nil"/>
            </w:tcBorders>
            <w:shd w:val="clear" w:color="auto" w:fill="auto"/>
            <w:noWrap/>
            <w:vAlign w:val="bottom"/>
            <w:hideMark/>
          </w:tcPr>
          <w:p w14:paraId="7042184C"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color w:val="000000"/>
                <w:sz w:val="20"/>
                <w:szCs w:val="20"/>
                <w:lang w:eastAsia="en-NZ"/>
              </w:rPr>
              <w:t>11,764</w:t>
            </w:r>
          </w:p>
        </w:tc>
        <w:tc>
          <w:tcPr>
            <w:tcW w:w="1620" w:type="dxa"/>
            <w:tcBorders>
              <w:top w:val="nil"/>
              <w:left w:val="nil"/>
              <w:right w:val="nil"/>
            </w:tcBorders>
            <w:shd w:val="clear" w:color="auto" w:fill="auto"/>
            <w:noWrap/>
            <w:vAlign w:val="bottom"/>
            <w:hideMark/>
          </w:tcPr>
          <w:p w14:paraId="32AB0423"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color w:val="000000"/>
                <w:sz w:val="20"/>
                <w:szCs w:val="20"/>
                <w:lang w:eastAsia="en-NZ"/>
              </w:rPr>
              <w:t>11,764</w:t>
            </w:r>
          </w:p>
        </w:tc>
        <w:tc>
          <w:tcPr>
            <w:tcW w:w="1620" w:type="dxa"/>
            <w:tcBorders>
              <w:top w:val="nil"/>
              <w:left w:val="nil"/>
              <w:right w:val="nil"/>
            </w:tcBorders>
            <w:shd w:val="clear" w:color="auto" w:fill="auto"/>
            <w:noWrap/>
            <w:vAlign w:val="bottom"/>
            <w:hideMark/>
          </w:tcPr>
          <w:p w14:paraId="65CA752D"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AA0798">
              <w:rPr>
                <w:rFonts w:ascii="Times New Roman" w:eastAsia="Times New Roman" w:hAnsi="Times New Roman" w:cs="Times New Roman"/>
                <w:color w:val="000000"/>
                <w:sz w:val="20"/>
                <w:szCs w:val="20"/>
                <w:lang w:eastAsia="en-NZ"/>
              </w:rPr>
              <w:t>11,764</w:t>
            </w:r>
          </w:p>
        </w:tc>
      </w:tr>
      <w:tr w:rsidR="001C51B9" w:rsidRPr="00CC0FCE" w14:paraId="3ED2C70C" w14:textId="77777777" w:rsidTr="005436B9">
        <w:trPr>
          <w:trHeight w:val="81"/>
        </w:trPr>
        <w:tc>
          <w:tcPr>
            <w:tcW w:w="2672" w:type="dxa"/>
            <w:tcBorders>
              <w:top w:val="nil"/>
              <w:left w:val="nil"/>
              <w:bottom w:val="single" w:sz="4" w:space="0" w:color="auto"/>
              <w:right w:val="nil"/>
            </w:tcBorders>
            <w:shd w:val="clear" w:color="auto" w:fill="auto"/>
            <w:noWrap/>
            <w:vAlign w:val="bottom"/>
            <w:hideMark/>
          </w:tcPr>
          <w:p w14:paraId="09C2B07C" w14:textId="77777777" w:rsidR="001C51B9" w:rsidRPr="00CC0FCE" w:rsidRDefault="001C51B9" w:rsidP="005436B9">
            <w:pPr>
              <w:spacing w:after="0" w:line="240" w:lineRule="auto"/>
              <w:rPr>
                <w:rFonts w:ascii="Times New Roman" w:eastAsia="Times New Roman" w:hAnsi="Times New Roman" w:cs="Times New Roman"/>
                <w:sz w:val="20"/>
                <w:szCs w:val="20"/>
                <w:lang w:eastAsia="en-NZ"/>
              </w:rPr>
            </w:pPr>
            <w:r w:rsidRPr="00CC0FCE">
              <w:rPr>
                <w:rFonts w:ascii="Times New Roman" w:eastAsia="Times New Roman" w:hAnsi="Times New Roman" w:cs="Times New Roman"/>
                <w:sz w:val="20"/>
                <w:szCs w:val="20"/>
                <w:lang w:eastAsia="en-NZ"/>
              </w:rPr>
              <w:t>Adj. R</w:t>
            </w:r>
            <w:r w:rsidRPr="00CC0FCE">
              <w:rPr>
                <w:rFonts w:ascii="Times New Roman" w:eastAsia="Times New Roman" w:hAnsi="Times New Roman" w:cs="Times New Roman"/>
                <w:sz w:val="20"/>
                <w:szCs w:val="20"/>
                <w:vertAlign w:val="superscript"/>
                <w:lang w:eastAsia="en-NZ"/>
              </w:rPr>
              <w:t>2</w:t>
            </w:r>
          </w:p>
        </w:tc>
        <w:tc>
          <w:tcPr>
            <w:tcW w:w="1417" w:type="dxa"/>
            <w:tcBorders>
              <w:top w:val="nil"/>
              <w:left w:val="nil"/>
              <w:bottom w:val="single" w:sz="4" w:space="0" w:color="auto"/>
              <w:right w:val="nil"/>
            </w:tcBorders>
            <w:shd w:val="clear" w:color="auto" w:fill="auto"/>
            <w:noWrap/>
            <w:vAlign w:val="bottom"/>
            <w:hideMark/>
          </w:tcPr>
          <w:p w14:paraId="0CF92B1D"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0.3392</w:t>
            </w:r>
          </w:p>
        </w:tc>
        <w:tc>
          <w:tcPr>
            <w:tcW w:w="1697" w:type="dxa"/>
            <w:tcBorders>
              <w:top w:val="nil"/>
              <w:left w:val="nil"/>
              <w:bottom w:val="single" w:sz="4" w:space="0" w:color="auto"/>
              <w:right w:val="nil"/>
            </w:tcBorders>
            <w:shd w:val="clear" w:color="auto" w:fill="auto"/>
            <w:noWrap/>
            <w:vAlign w:val="bottom"/>
            <w:hideMark/>
          </w:tcPr>
          <w:p w14:paraId="4DF7B580"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0.3288</w:t>
            </w:r>
          </w:p>
        </w:tc>
        <w:tc>
          <w:tcPr>
            <w:tcW w:w="1620" w:type="dxa"/>
            <w:tcBorders>
              <w:top w:val="nil"/>
              <w:left w:val="nil"/>
              <w:bottom w:val="single" w:sz="4" w:space="0" w:color="auto"/>
              <w:right w:val="nil"/>
            </w:tcBorders>
            <w:shd w:val="clear" w:color="auto" w:fill="auto"/>
            <w:noWrap/>
            <w:vAlign w:val="bottom"/>
            <w:hideMark/>
          </w:tcPr>
          <w:p w14:paraId="32FAD1A8"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0.3401</w:t>
            </w:r>
          </w:p>
        </w:tc>
        <w:tc>
          <w:tcPr>
            <w:tcW w:w="1620" w:type="dxa"/>
            <w:tcBorders>
              <w:top w:val="nil"/>
              <w:left w:val="nil"/>
              <w:bottom w:val="single" w:sz="4" w:space="0" w:color="auto"/>
              <w:right w:val="nil"/>
            </w:tcBorders>
            <w:shd w:val="clear" w:color="auto" w:fill="auto"/>
            <w:noWrap/>
            <w:vAlign w:val="bottom"/>
            <w:hideMark/>
          </w:tcPr>
          <w:p w14:paraId="5B49F1EC" w14:textId="77777777" w:rsidR="001C51B9" w:rsidRPr="00AA0798"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0.3290</w:t>
            </w:r>
          </w:p>
        </w:tc>
      </w:tr>
    </w:tbl>
    <w:p w14:paraId="372AE8CF" w14:textId="380169AD" w:rsidR="001C51B9" w:rsidRDefault="001C51B9" w:rsidP="001C51B9">
      <w:pPr>
        <w:spacing w:after="0" w:line="240" w:lineRule="auto"/>
        <w:jc w:val="both"/>
        <w:rPr>
          <w:rFonts w:ascii="Times New Roman" w:eastAsia="Times New Roman" w:hAnsi="Times New Roman" w:cs="Times New Roman"/>
          <w:color w:val="000000"/>
          <w:sz w:val="20"/>
          <w:szCs w:val="20"/>
          <w:lang w:eastAsia="en-NZ"/>
        </w:rPr>
      </w:pPr>
      <w:r>
        <w:rPr>
          <w:rFonts w:ascii="Times New Roman" w:hAnsi="Times New Roman" w:cs="Times New Roman"/>
          <w:sz w:val="20"/>
          <w:szCs w:val="20"/>
        </w:rPr>
        <w:t xml:space="preserve">Note: This table reports results for earnings management, legal regime, and post-SEO performance using the weighted least squares regression. Columns (1) and (2) [(3) and (4)] present results of estimation of Equations (1) and (2) [(3) and (4)], respectively. </w:t>
      </w:r>
      <w:r w:rsidRPr="00AD688D">
        <w:rPr>
          <w:rFonts w:ascii="Times New Roman" w:hAnsi="Times New Roman" w:cs="Times New Roman"/>
          <w:sz w:val="20"/>
          <w:szCs w:val="20"/>
        </w:rPr>
        <w:t xml:space="preserve">Robust </w:t>
      </w:r>
      <w:r w:rsidRPr="001578CB">
        <w:rPr>
          <w:rFonts w:ascii="Times New Roman" w:hAnsi="Times New Roman" w:cs="Times New Roman"/>
          <w:i/>
          <w:iCs/>
          <w:sz w:val="20"/>
          <w:szCs w:val="20"/>
        </w:rPr>
        <w:t>t</w:t>
      </w:r>
      <w:r>
        <w:rPr>
          <w:rFonts w:ascii="Times New Roman" w:hAnsi="Times New Roman" w:cs="Times New Roman"/>
          <w:sz w:val="20"/>
          <w:szCs w:val="20"/>
        </w:rPr>
        <w:t>-statistics</w:t>
      </w:r>
      <w:r w:rsidRPr="00AD688D">
        <w:rPr>
          <w:rFonts w:ascii="Times New Roman" w:hAnsi="Times New Roman" w:cs="Times New Roman"/>
          <w:sz w:val="20"/>
          <w:szCs w:val="20"/>
        </w:rPr>
        <w:t xml:space="preserve"> are in parenthesis. ***, **, * indicate significance at the 1%, 5% and 10% levels, respectively</w:t>
      </w:r>
      <w:r>
        <w:rPr>
          <w:rFonts w:ascii="Times New Roman" w:hAnsi="Times New Roman" w:cs="Times New Roman"/>
          <w:sz w:val="20"/>
          <w:szCs w:val="20"/>
        </w:rPr>
        <w:t xml:space="preserve">. </w:t>
      </w:r>
      <w:r w:rsidRPr="00866D4A">
        <w:rPr>
          <w:rFonts w:ascii="Times New Roman" w:hAnsi="Times New Roman" w:cs="Times New Roman"/>
          <w:sz w:val="20"/>
          <w:szCs w:val="20"/>
        </w:rPr>
        <w:t xml:space="preserve">All variables are defined </w:t>
      </w:r>
      <w:r>
        <w:rPr>
          <w:rFonts w:ascii="Times New Roman" w:hAnsi="Times New Roman" w:cs="Times New Roman"/>
          <w:sz w:val="20"/>
          <w:szCs w:val="20"/>
        </w:rPr>
        <w:t>in Appendix.</w:t>
      </w:r>
      <w:r>
        <w:rPr>
          <w:rFonts w:ascii="Times New Roman" w:eastAsia="Times New Roman" w:hAnsi="Times New Roman" w:cs="Times New Roman"/>
          <w:color w:val="000000"/>
          <w:sz w:val="20"/>
          <w:szCs w:val="20"/>
          <w:lang w:eastAsia="en-NZ"/>
        </w:rPr>
        <w:br w:type="page"/>
      </w:r>
    </w:p>
    <w:tbl>
      <w:tblPr>
        <w:tblW w:w="9026" w:type="dxa"/>
        <w:tblLook w:val="04A0" w:firstRow="1" w:lastRow="0" w:firstColumn="1" w:lastColumn="0" w:noHBand="0" w:noVBand="1"/>
      </w:tblPr>
      <w:tblGrid>
        <w:gridCol w:w="2448"/>
        <w:gridCol w:w="1821"/>
        <w:gridCol w:w="1421"/>
        <w:gridCol w:w="1571"/>
        <w:gridCol w:w="1765"/>
      </w:tblGrid>
      <w:tr w:rsidR="001C51B9" w:rsidRPr="00D4376E" w14:paraId="0FDD412A" w14:textId="77777777" w:rsidTr="005436B9">
        <w:trPr>
          <w:trHeight w:val="142"/>
        </w:trPr>
        <w:tc>
          <w:tcPr>
            <w:tcW w:w="9026" w:type="dxa"/>
            <w:gridSpan w:val="5"/>
            <w:tcBorders>
              <w:left w:val="nil"/>
              <w:bottom w:val="single" w:sz="4" w:space="0" w:color="auto"/>
              <w:right w:val="nil"/>
            </w:tcBorders>
            <w:shd w:val="clear" w:color="auto" w:fill="auto"/>
            <w:noWrap/>
            <w:vAlign w:val="bottom"/>
          </w:tcPr>
          <w:p w14:paraId="043211B0" w14:textId="6A66C435" w:rsidR="001C51B9" w:rsidRPr="00D4376E" w:rsidRDefault="001C51B9" w:rsidP="001578CB">
            <w:pPr>
              <w:spacing w:after="0" w:line="240" w:lineRule="auto"/>
              <w:rPr>
                <w:rFonts w:ascii="Times New Roman" w:eastAsia="Times New Roman" w:hAnsi="Times New Roman" w:cs="Times New Roman"/>
                <w:sz w:val="20"/>
                <w:szCs w:val="20"/>
                <w:lang w:eastAsia="en-NZ"/>
              </w:rPr>
            </w:pPr>
            <w:r w:rsidRPr="002A6AF0">
              <w:rPr>
                <w:rFonts w:ascii="Times New Roman" w:eastAsia="Times New Roman" w:hAnsi="Times New Roman" w:cs="Times New Roman"/>
                <w:color w:val="000000"/>
                <w:sz w:val="20"/>
                <w:szCs w:val="20"/>
                <w:lang w:eastAsia="en-NZ"/>
              </w:rPr>
              <w:lastRenderedPageBreak/>
              <w:t xml:space="preserve">TABLE </w:t>
            </w:r>
            <w:r>
              <w:rPr>
                <w:rFonts w:ascii="Times New Roman" w:eastAsia="Times New Roman" w:hAnsi="Times New Roman" w:cs="Times New Roman"/>
                <w:color w:val="000000"/>
                <w:sz w:val="20"/>
                <w:szCs w:val="20"/>
                <w:lang w:eastAsia="en-NZ"/>
              </w:rPr>
              <w:t>1</w:t>
            </w:r>
            <w:r w:rsidR="00A66207">
              <w:rPr>
                <w:rFonts w:ascii="Times New Roman" w:eastAsia="Times New Roman" w:hAnsi="Times New Roman" w:cs="Times New Roman"/>
                <w:color w:val="000000"/>
                <w:sz w:val="20"/>
                <w:szCs w:val="20"/>
                <w:lang w:eastAsia="en-NZ"/>
              </w:rPr>
              <w:t>1</w:t>
            </w:r>
            <w:r w:rsidRPr="002A6AF0">
              <w:rPr>
                <w:rFonts w:ascii="Times New Roman" w:eastAsia="Times New Roman" w:hAnsi="Times New Roman" w:cs="Times New Roman"/>
                <w:color w:val="000000"/>
                <w:sz w:val="20"/>
                <w:szCs w:val="20"/>
                <w:lang w:eastAsia="en-NZ"/>
              </w:rPr>
              <w:t>:</w:t>
            </w:r>
            <w:r>
              <w:rPr>
                <w:rFonts w:ascii="Times New Roman" w:eastAsia="Times New Roman" w:hAnsi="Times New Roman" w:cs="Times New Roman"/>
                <w:color w:val="000000"/>
                <w:sz w:val="20"/>
                <w:szCs w:val="20"/>
                <w:lang w:eastAsia="en-NZ"/>
              </w:rPr>
              <w:t xml:space="preserve"> </w:t>
            </w:r>
            <w:r w:rsidR="002C0142" w:rsidRPr="001578CB">
              <w:rPr>
                <w:rFonts w:ascii="Times New Roman" w:eastAsia="Times New Roman" w:hAnsi="Times New Roman" w:cs="Times New Roman"/>
                <w:sz w:val="20"/>
                <w:szCs w:val="20"/>
                <w:lang w:eastAsia="en-NZ"/>
              </w:rPr>
              <w:t>Regression results after dropping countries with small sample sizes</w:t>
            </w:r>
          </w:p>
        </w:tc>
      </w:tr>
      <w:tr w:rsidR="001C51B9" w:rsidRPr="00D4376E" w14:paraId="3AA5F424" w14:textId="77777777" w:rsidTr="005436B9">
        <w:trPr>
          <w:trHeight w:val="70"/>
        </w:trPr>
        <w:tc>
          <w:tcPr>
            <w:tcW w:w="2448" w:type="dxa"/>
            <w:tcBorders>
              <w:top w:val="single" w:sz="4" w:space="0" w:color="auto"/>
              <w:left w:val="nil"/>
              <w:right w:val="nil"/>
            </w:tcBorders>
            <w:shd w:val="clear" w:color="auto" w:fill="auto"/>
            <w:noWrap/>
            <w:vAlign w:val="bottom"/>
          </w:tcPr>
          <w:p w14:paraId="3619B2E3"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p>
        </w:tc>
        <w:tc>
          <w:tcPr>
            <w:tcW w:w="1821" w:type="dxa"/>
            <w:tcBorders>
              <w:top w:val="single" w:sz="4" w:space="0" w:color="auto"/>
              <w:left w:val="nil"/>
              <w:right w:val="nil"/>
            </w:tcBorders>
            <w:shd w:val="clear" w:color="auto" w:fill="auto"/>
            <w:noWrap/>
            <w:vAlign w:val="bottom"/>
          </w:tcPr>
          <w:p w14:paraId="12F08503"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(1)</w:t>
            </w:r>
          </w:p>
        </w:tc>
        <w:tc>
          <w:tcPr>
            <w:tcW w:w="1421" w:type="dxa"/>
            <w:tcBorders>
              <w:top w:val="single" w:sz="4" w:space="0" w:color="auto"/>
              <w:left w:val="nil"/>
              <w:right w:val="nil"/>
            </w:tcBorders>
            <w:shd w:val="clear" w:color="auto" w:fill="auto"/>
            <w:noWrap/>
            <w:vAlign w:val="bottom"/>
          </w:tcPr>
          <w:p w14:paraId="302B6FB3"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(2)</w:t>
            </w:r>
          </w:p>
        </w:tc>
        <w:tc>
          <w:tcPr>
            <w:tcW w:w="1571" w:type="dxa"/>
            <w:tcBorders>
              <w:top w:val="single" w:sz="4" w:space="0" w:color="auto"/>
              <w:left w:val="nil"/>
              <w:right w:val="nil"/>
            </w:tcBorders>
            <w:shd w:val="clear" w:color="auto" w:fill="auto"/>
            <w:noWrap/>
            <w:vAlign w:val="bottom"/>
          </w:tcPr>
          <w:p w14:paraId="0D68F4EE"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(3)</w:t>
            </w:r>
          </w:p>
        </w:tc>
        <w:tc>
          <w:tcPr>
            <w:tcW w:w="1765" w:type="dxa"/>
            <w:tcBorders>
              <w:top w:val="single" w:sz="4" w:space="0" w:color="auto"/>
              <w:left w:val="nil"/>
              <w:right w:val="nil"/>
            </w:tcBorders>
            <w:shd w:val="clear" w:color="auto" w:fill="auto"/>
            <w:noWrap/>
            <w:vAlign w:val="bottom"/>
          </w:tcPr>
          <w:p w14:paraId="0E890C35"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(4)</w:t>
            </w:r>
          </w:p>
        </w:tc>
      </w:tr>
      <w:tr w:rsidR="001C51B9" w:rsidRPr="00D4376E" w14:paraId="6629F0B5" w14:textId="77777777" w:rsidTr="005436B9">
        <w:trPr>
          <w:trHeight w:val="110"/>
        </w:trPr>
        <w:tc>
          <w:tcPr>
            <w:tcW w:w="2448" w:type="dxa"/>
            <w:tcBorders>
              <w:left w:val="nil"/>
              <w:bottom w:val="single" w:sz="4" w:space="0" w:color="auto"/>
              <w:right w:val="nil"/>
            </w:tcBorders>
            <w:shd w:val="clear" w:color="auto" w:fill="auto"/>
            <w:noWrap/>
            <w:vAlign w:val="bottom"/>
          </w:tcPr>
          <w:p w14:paraId="0B93ED56"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Variables</w:t>
            </w:r>
          </w:p>
        </w:tc>
        <w:tc>
          <w:tcPr>
            <w:tcW w:w="1821" w:type="dxa"/>
            <w:tcBorders>
              <w:left w:val="nil"/>
              <w:bottom w:val="single" w:sz="4" w:space="0" w:color="auto"/>
              <w:right w:val="nil"/>
            </w:tcBorders>
            <w:shd w:val="clear" w:color="auto" w:fill="auto"/>
            <w:noWrap/>
            <w:vAlign w:val="bottom"/>
          </w:tcPr>
          <w:p w14:paraId="4504B11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AEM</w:t>
            </w:r>
            <w:r>
              <w:rPr>
                <w:rFonts w:ascii="Times New Roman" w:eastAsia="Times New Roman" w:hAnsi="Times New Roman" w:cs="Times New Roman"/>
                <w:sz w:val="20"/>
                <w:szCs w:val="20"/>
                <w:lang w:eastAsia="en-NZ"/>
              </w:rPr>
              <w:t>&amp;</w:t>
            </w:r>
            <w:r w:rsidRPr="00D4376E">
              <w:rPr>
                <w:rFonts w:ascii="Times New Roman" w:eastAsia="Times New Roman" w:hAnsi="Times New Roman" w:cs="Times New Roman"/>
                <w:sz w:val="20"/>
                <w:szCs w:val="20"/>
                <w:lang w:eastAsia="en-NZ"/>
              </w:rPr>
              <w:t>RAM</w:t>
            </w:r>
          </w:p>
        </w:tc>
        <w:tc>
          <w:tcPr>
            <w:tcW w:w="1421" w:type="dxa"/>
            <w:tcBorders>
              <w:left w:val="nil"/>
              <w:bottom w:val="single" w:sz="4" w:space="0" w:color="auto"/>
              <w:right w:val="nil"/>
            </w:tcBorders>
            <w:shd w:val="clear" w:color="auto" w:fill="auto"/>
            <w:noWrap/>
            <w:vAlign w:val="bottom"/>
          </w:tcPr>
          <w:p w14:paraId="6009B53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Sum (AEM</w:t>
            </w:r>
            <w:r>
              <w:rPr>
                <w:rFonts w:ascii="Times New Roman" w:eastAsia="Times New Roman" w:hAnsi="Times New Roman" w:cs="Times New Roman"/>
                <w:sz w:val="20"/>
                <w:szCs w:val="20"/>
                <w:lang w:eastAsia="en-NZ"/>
              </w:rPr>
              <w:t>&amp;</w:t>
            </w:r>
            <w:r w:rsidRPr="00D4376E">
              <w:rPr>
                <w:rFonts w:ascii="Times New Roman" w:eastAsia="Times New Roman" w:hAnsi="Times New Roman" w:cs="Times New Roman"/>
                <w:sz w:val="20"/>
                <w:szCs w:val="20"/>
                <w:lang w:eastAsia="en-NZ"/>
              </w:rPr>
              <w:t>RAM)</w:t>
            </w:r>
          </w:p>
        </w:tc>
        <w:tc>
          <w:tcPr>
            <w:tcW w:w="1571" w:type="dxa"/>
            <w:tcBorders>
              <w:left w:val="nil"/>
              <w:bottom w:val="single" w:sz="4" w:space="0" w:color="auto"/>
              <w:right w:val="nil"/>
            </w:tcBorders>
            <w:shd w:val="clear" w:color="auto" w:fill="auto"/>
            <w:noWrap/>
            <w:vAlign w:val="bottom"/>
          </w:tcPr>
          <w:p w14:paraId="6F78CE5F"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AEM</w:t>
            </w:r>
            <w:r>
              <w:rPr>
                <w:rFonts w:ascii="Times New Roman" w:eastAsia="Times New Roman" w:hAnsi="Times New Roman" w:cs="Times New Roman"/>
                <w:sz w:val="20"/>
                <w:szCs w:val="20"/>
                <w:lang w:eastAsia="en-NZ"/>
              </w:rPr>
              <w:t>&amp;</w:t>
            </w:r>
            <w:r w:rsidRPr="00D4376E">
              <w:rPr>
                <w:rFonts w:ascii="Times New Roman" w:eastAsia="Times New Roman" w:hAnsi="Times New Roman" w:cs="Times New Roman"/>
                <w:sz w:val="20"/>
                <w:szCs w:val="20"/>
                <w:lang w:eastAsia="en-NZ"/>
              </w:rPr>
              <w:t>RAM</w:t>
            </w:r>
          </w:p>
        </w:tc>
        <w:tc>
          <w:tcPr>
            <w:tcW w:w="1765" w:type="dxa"/>
            <w:tcBorders>
              <w:left w:val="nil"/>
              <w:bottom w:val="single" w:sz="4" w:space="0" w:color="auto"/>
              <w:right w:val="nil"/>
            </w:tcBorders>
            <w:shd w:val="clear" w:color="auto" w:fill="auto"/>
            <w:noWrap/>
            <w:vAlign w:val="bottom"/>
          </w:tcPr>
          <w:p w14:paraId="08920DD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Sum (AEM</w:t>
            </w:r>
            <w:r>
              <w:rPr>
                <w:rFonts w:ascii="Times New Roman" w:eastAsia="Times New Roman" w:hAnsi="Times New Roman" w:cs="Times New Roman"/>
                <w:sz w:val="20"/>
                <w:szCs w:val="20"/>
                <w:lang w:eastAsia="en-NZ"/>
              </w:rPr>
              <w:t>&amp;</w:t>
            </w:r>
            <w:r w:rsidRPr="00D4376E">
              <w:rPr>
                <w:rFonts w:ascii="Times New Roman" w:eastAsia="Times New Roman" w:hAnsi="Times New Roman" w:cs="Times New Roman"/>
                <w:sz w:val="20"/>
                <w:szCs w:val="20"/>
                <w:lang w:eastAsia="en-NZ"/>
              </w:rPr>
              <w:t>RAM)</w:t>
            </w:r>
          </w:p>
        </w:tc>
      </w:tr>
      <w:tr w:rsidR="001C51B9" w:rsidRPr="00D4376E" w14:paraId="36AD1801" w14:textId="77777777" w:rsidTr="005436B9">
        <w:trPr>
          <w:trHeight w:val="269"/>
        </w:trPr>
        <w:tc>
          <w:tcPr>
            <w:tcW w:w="2448" w:type="dxa"/>
            <w:tcBorders>
              <w:top w:val="single" w:sz="4" w:space="0" w:color="auto"/>
              <w:left w:val="nil"/>
              <w:bottom w:val="nil"/>
              <w:right w:val="nil"/>
            </w:tcBorders>
            <w:shd w:val="clear" w:color="auto" w:fill="auto"/>
            <w:noWrap/>
            <w:vAlign w:val="bottom"/>
            <w:hideMark/>
          </w:tcPr>
          <w:p w14:paraId="72043667"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AEM</w:t>
            </w:r>
          </w:p>
        </w:tc>
        <w:tc>
          <w:tcPr>
            <w:tcW w:w="1821" w:type="dxa"/>
            <w:tcBorders>
              <w:top w:val="nil"/>
              <w:left w:val="nil"/>
              <w:bottom w:val="nil"/>
              <w:right w:val="nil"/>
            </w:tcBorders>
            <w:shd w:val="clear" w:color="auto" w:fill="auto"/>
            <w:noWrap/>
            <w:vAlign w:val="bottom"/>
          </w:tcPr>
          <w:p w14:paraId="26A807C7"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-0.0277***</w:t>
            </w:r>
          </w:p>
        </w:tc>
        <w:tc>
          <w:tcPr>
            <w:tcW w:w="1421" w:type="dxa"/>
            <w:tcBorders>
              <w:top w:val="nil"/>
              <w:left w:val="nil"/>
              <w:bottom w:val="nil"/>
              <w:right w:val="nil"/>
            </w:tcBorders>
            <w:shd w:val="clear" w:color="auto" w:fill="auto"/>
            <w:noWrap/>
            <w:vAlign w:val="bottom"/>
          </w:tcPr>
          <w:p w14:paraId="173F289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571" w:type="dxa"/>
            <w:tcBorders>
              <w:top w:val="nil"/>
              <w:left w:val="nil"/>
              <w:bottom w:val="nil"/>
              <w:right w:val="nil"/>
            </w:tcBorders>
            <w:shd w:val="clear" w:color="auto" w:fill="auto"/>
            <w:noWrap/>
            <w:vAlign w:val="bottom"/>
          </w:tcPr>
          <w:p w14:paraId="6D053E1C"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-0.0321*</w:t>
            </w:r>
          </w:p>
        </w:tc>
        <w:tc>
          <w:tcPr>
            <w:tcW w:w="1765" w:type="dxa"/>
            <w:tcBorders>
              <w:top w:val="single" w:sz="4" w:space="0" w:color="auto"/>
              <w:left w:val="nil"/>
              <w:bottom w:val="nil"/>
              <w:right w:val="nil"/>
            </w:tcBorders>
            <w:shd w:val="clear" w:color="auto" w:fill="auto"/>
            <w:noWrap/>
            <w:vAlign w:val="bottom"/>
          </w:tcPr>
          <w:p w14:paraId="7D2CB1C7"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D4376E" w14:paraId="5FDEE8FF" w14:textId="77777777" w:rsidTr="005436B9">
        <w:trPr>
          <w:trHeight w:val="269"/>
        </w:trPr>
        <w:tc>
          <w:tcPr>
            <w:tcW w:w="2448" w:type="dxa"/>
            <w:tcBorders>
              <w:top w:val="nil"/>
              <w:left w:val="nil"/>
              <w:bottom w:val="nil"/>
              <w:right w:val="nil"/>
            </w:tcBorders>
            <w:shd w:val="clear" w:color="auto" w:fill="auto"/>
            <w:noWrap/>
            <w:vAlign w:val="bottom"/>
            <w:hideMark/>
          </w:tcPr>
          <w:p w14:paraId="297EA9D1" w14:textId="77777777" w:rsidR="001C51B9" w:rsidRPr="005436B9" w:rsidRDefault="001C51B9" w:rsidP="005436B9">
            <w:pPr>
              <w:spacing w:after="0" w:line="240" w:lineRule="auto"/>
              <w:jc w:val="center"/>
              <w:rPr>
                <w:rFonts w:ascii="Times New Roman" w:eastAsia="Times New Roman" w:hAnsi="Times New Roman" w:cs="Times New Roman"/>
                <w:sz w:val="20"/>
                <w:szCs w:val="20"/>
                <w:lang w:eastAsia="en-NZ"/>
              </w:rPr>
            </w:pPr>
          </w:p>
        </w:tc>
        <w:tc>
          <w:tcPr>
            <w:tcW w:w="1821" w:type="dxa"/>
            <w:tcBorders>
              <w:top w:val="nil"/>
              <w:left w:val="nil"/>
              <w:bottom w:val="nil"/>
              <w:right w:val="nil"/>
            </w:tcBorders>
            <w:shd w:val="clear" w:color="auto" w:fill="auto"/>
            <w:noWrap/>
            <w:vAlign w:val="bottom"/>
          </w:tcPr>
          <w:p w14:paraId="7B458D64"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(-5.2645)</w:t>
            </w:r>
          </w:p>
        </w:tc>
        <w:tc>
          <w:tcPr>
            <w:tcW w:w="1421" w:type="dxa"/>
            <w:tcBorders>
              <w:top w:val="nil"/>
              <w:left w:val="nil"/>
              <w:bottom w:val="nil"/>
              <w:right w:val="nil"/>
            </w:tcBorders>
            <w:shd w:val="clear" w:color="auto" w:fill="auto"/>
            <w:noWrap/>
            <w:vAlign w:val="bottom"/>
          </w:tcPr>
          <w:p w14:paraId="364E26B2"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571" w:type="dxa"/>
            <w:tcBorders>
              <w:top w:val="nil"/>
              <w:left w:val="nil"/>
              <w:bottom w:val="nil"/>
              <w:right w:val="nil"/>
            </w:tcBorders>
            <w:shd w:val="clear" w:color="auto" w:fill="auto"/>
            <w:noWrap/>
            <w:vAlign w:val="bottom"/>
          </w:tcPr>
          <w:p w14:paraId="6F2F4DC2"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(-1.8662)</w:t>
            </w:r>
          </w:p>
        </w:tc>
        <w:tc>
          <w:tcPr>
            <w:tcW w:w="1765" w:type="dxa"/>
            <w:tcBorders>
              <w:top w:val="nil"/>
              <w:left w:val="nil"/>
              <w:bottom w:val="nil"/>
              <w:right w:val="nil"/>
            </w:tcBorders>
            <w:shd w:val="clear" w:color="auto" w:fill="auto"/>
            <w:noWrap/>
            <w:vAlign w:val="bottom"/>
          </w:tcPr>
          <w:p w14:paraId="04C6F62E"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D4376E" w14:paraId="394BF7C0" w14:textId="77777777" w:rsidTr="005436B9">
        <w:trPr>
          <w:trHeight w:val="269"/>
        </w:trPr>
        <w:tc>
          <w:tcPr>
            <w:tcW w:w="2448" w:type="dxa"/>
            <w:tcBorders>
              <w:top w:val="nil"/>
              <w:left w:val="nil"/>
              <w:bottom w:val="nil"/>
              <w:right w:val="nil"/>
            </w:tcBorders>
            <w:shd w:val="clear" w:color="auto" w:fill="auto"/>
            <w:noWrap/>
            <w:vAlign w:val="bottom"/>
            <w:hideMark/>
          </w:tcPr>
          <w:p w14:paraId="059D77E0"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RAM</w:t>
            </w:r>
          </w:p>
        </w:tc>
        <w:tc>
          <w:tcPr>
            <w:tcW w:w="1821" w:type="dxa"/>
            <w:tcBorders>
              <w:top w:val="nil"/>
              <w:left w:val="nil"/>
              <w:bottom w:val="nil"/>
              <w:right w:val="nil"/>
            </w:tcBorders>
            <w:shd w:val="clear" w:color="auto" w:fill="auto"/>
            <w:noWrap/>
            <w:vAlign w:val="bottom"/>
          </w:tcPr>
          <w:p w14:paraId="050C7BCF"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-0.1023***</w:t>
            </w:r>
          </w:p>
        </w:tc>
        <w:tc>
          <w:tcPr>
            <w:tcW w:w="1421" w:type="dxa"/>
            <w:tcBorders>
              <w:top w:val="nil"/>
              <w:left w:val="nil"/>
              <w:bottom w:val="nil"/>
              <w:right w:val="nil"/>
            </w:tcBorders>
            <w:shd w:val="clear" w:color="auto" w:fill="auto"/>
            <w:noWrap/>
            <w:vAlign w:val="bottom"/>
          </w:tcPr>
          <w:p w14:paraId="4AF666DA"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571" w:type="dxa"/>
            <w:tcBorders>
              <w:top w:val="nil"/>
              <w:left w:val="nil"/>
              <w:bottom w:val="nil"/>
              <w:right w:val="nil"/>
            </w:tcBorders>
            <w:shd w:val="clear" w:color="auto" w:fill="auto"/>
            <w:noWrap/>
            <w:vAlign w:val="bottom"/>
          </w:tcPr>
          <w:p w14:paraId="69D48AF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-0.0626***</w:t>
            </w:r>
          </w:p>
        </w:tc>
        <w:tc>
          <w:tcPr>
            <w:tcW w:w="1765" w:type="dxa"/>
            <w:tcBorders>
              <w:top w:val="nil"/>
              <w:left w:val="nil"/>
              <w:bottom w:val="nil"/>
              <w:right w:val="nil"/>
            </w:tcBorders>
            <w:shd w:val="clear" w:color="auto" w:fill="auto"/>
            <w:noWrap/>
            <w:vAlign w:val="bottom"/>
          </w:tcPr>
          <w:p w14:paraId="19E31FE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D4376E" w14:paraId="2347B6B4" w14:textId="77777777" w:rsidTr="005436B9">
        <w:trPr>
          <w:trHeight w:val="269"/>
        </w:trPr>
        <w:tc>
          <w:tcPr>
            <w:tcW w:w="2448" w:type="dxa"/>
            <w:tcBorders>
              <w:top w:val="nil"/>
              <w:left w:val="nil"/>
              <w:bottom w:val="nil"/>
              <w:right w:val="nil"/>
            </w:tcBorders>
            <w:shd w:val="clear" w:color="auto" w:fill="auto"/>
            <w:noWrap/>
            <w:vAlign w:val="bottom"/>
            <w:hideMark/>
          </w:tcPr>
          <w:p w14:paraId="326C4CE1" w14:textId="77777777" w:rsidR="001C51B9" w:rsidRPr="005436B9" w:rsidRDefault="001C51B9" w:rsidP="005436B9">
            <w:pPr>
              <w:spacing w:after="0" w:line="240" w:lineRule="auto"/>
              <w:jc w:val="center"/>
              <w:rPr>
                <w:rFonts w:ascii="Times New Roman" w:eastAsia="Times New Roman" w:hAnsi="Times New Roman" w:cs="Times New Roman"/>
                <w:sz w:val="20"/>
                <w:szCs w:val="20"/>
                <w:lang w:eastAsia="en-NZ"/>
              </w:rPr>
            </w:pPr>
          </w:p>
        </w:tc>
        <w:tc>
          <w:tcPr>
            <w:tcW w:w="1821" w:type="dxa"/>
            <w:tcBorders>
              <w:top w:val="nil"/>
              <w:left w:val="nil"/>
              <w:bottom w:val="nil"/>
              <w:right w:val="nil"/>
            </w:tcBorders>
            <w:shd w:val="clear" w:color="auto" w:fill="auto"/>
            <w:noWrap/>
            <w:vAlign w:val="bottom"/>
          </w:tcPr>
          <w:p w14:paraId="7FCE1C3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(-19.1463)</w:t>
            </w:r>
          </w:p>
        </w:tc>
        <w:tc>
          <w:tcPr>
            <w:tcW w:w="1421" w:type="dxa"/>
            <w:tcBorders>
              <w:top w:val="nil"/>
              <w:left w:val="nil"/>
              <w:bottom w:val="nil"/>
              <w:right w:val="nil"/>
            </w:tcBorders>
            <w:shd w:val="clear" w:color="auto" w:fill="auto"/>
            <w:noWrap/>
            <w:vAlign w:val="bottom"/>
          </w:tcPr>
          <w:p w14:paraId="211C767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571" w:type="dxa"/>
            <w:tcBorders>
              <w:top w:val="nil"/>
              <w:left w:val="nil"/>
              <w:bottom w:val="nil"/>
              <w:right w:val="nil"/>
            </w:tcBorders>
            <w:shd w:val="clear" w:color="auto" w:fill="auto"/>
            <w:noWrap/>
            <w:vAlign w:val="bottom"/>
          </w:tcPr>
          <w:p w14:paraId="5BF8A397"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(-3.5841)</w:t>
            </w:r>
          </w:p>
        </w:tc>
        <w:tc>
          <w:tcPr>
            <w:tcW w:w="1765" w:type="dxa"/>
            <w:tcBorders>
              <w:top w:val="nil"/>
              <w:left w:val="nil"/>
              <w:bottom w:val="nil"/>
              <w:right w:val="nil"/>
            </w:tcBorders>
            <w:shd w:val="clear" w:color="auto" w:fill="auto"/>
            <w:noWrap/>
            <w:vAlign w:val="bottom"/>
          </w:tcPr>
          <w:p w14:paraId="6CA8D03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r>
      <w:tr w:rsidR="001C51B9" w:rsidRPr="00D4376E" w14:paraId="4BF49D6F" w14:textId="77777777" w:rsidTr="005436B9">
        <w:trPr>
          <w:trHeight w:val="269"/>
        </w:trPr>
        <w:tc>
          <w:tcPr>
            <w:tcW w:w="2448" w:type="dxa"/>
            <w:tcBorders>
              <w:top w:val="nil"/>
              <w:left w:val="nil"/>
              <w:bottom w:val="nil"/>
              <w:right w:val="nil"/>
            </w:tcBorders>
            <w:shd w:val="clear" w:color="auto" w:fill="auto"/>
            <w:noWrap/>
            <w:vAlign w:val="bottom"/>
            <w:hideMark/>
          </w:tcPr>
          <w:p w14:paraId="1138D536"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TAR</w:t>
            </w:r>
          </w:p>
        </w:tc>
        <w:tc>
          <w:tcPr>
            <w:tcW w:w="1821" w:type="dxa"/>
            <w:tcBorders>
              <w:top w:val="nil"/>
              <w:left w:val="nil"/>
              <w:bottom w:val="nil"/>
              <w:right w:val="nil"/>
            </w:tcBorders>
            <w:shd w:val="clear" w:color="auto" w:fill="auto"/>
            <w:noWrap/>
            <w:vAlign w:val="bottom"/>
          </w:tcPr>
          <w:p w14:paraId="4C58267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6CC8D016"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-0.0650***</w:t>
            </w:r>
          </w:p>
        </w:tc>
        <w:tc>
          <w:tcPr>
            <w:tcW w:w="1571" w:type="dxa"/>
            <w:tcBorders>
              <w:top w:val="nil"/>
              <w:left w:val="nil"/>
              <w:bottom w:val="nil"/>
              <w:right w:val="nil"/>
            </w:tcBorders>
            <w:shd w:val="clear" w:color="auto" w:fill="auto"/>
            <w:noWrap/>
            <w:vAlign w:val="bottom"/>
          </w:tcPr>
          <w:p w14:paraId="6EE3DDEA"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765" w:type="dxa"/>
            <w:tcBorders>
              <w:top w:val="nil"/>
              <w:left w:val="nil"/>
              <w:bottom w:val="nil"/>
              <w:right w:val="nil"/>
            </w:tcBorders>
            <w:shd w:val="clear" w:color="auto" w:fill="auto"/>
            <w:noWrap/>
            <w:vAlign w:val="bottom"/>
          </w:tcPr>
          <w:p w14:paraId="36C55903"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-0.0468***</w:t>
            </w:r>
          </w:p>
        </w:tc>
      </w:tr>
      <w:tr w:rsidR="001C51B9" w:rsidRPr="00D4376E" w14:paraId="08822BA8" w14:textId="77777777" w:rsidTr="005436B9">
        <w:trPr>
          <w:trHeight w:val="269"/>
        </w:trPr>
        <w:tc>
          <w:tcPr>
            <w:tcW w:w="2448" w:type="dxa"/>
            <w:tcBorders>
              <w:top w:val="nil"/>
              <w:left w:val="nil"/>
              <w:bottom w:val="nil"/>
              <w:right w:val="nil"/>
            </w:tcBorders>
            <w:shd w:val="clear" w:color="auto" w:fill="auto"/>
            <w:noWrap/>
            <w:vAlign w:val="bottom"/>
            <w:hideMark/>
          </w:tcPr>
          <w:p w14:paraId="024880E5"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821" w:type="dxa"/>
            <w:tcBorders>
              <w:top w:val="nil"/>
              <w:left w:val="nil"/>
              <w:bottom w:val="nil"/>
              <w:right w:val="nil"/>
            </w:tcBorders>
            <w:shd w:val="clear" w:color="auto" w:fill="auto"/>
            <w:noWrap/>
            <w:vAlign w:val="bottom"/>
          </w:tcPr>
          <w:p w14:paraId="3285954D"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49BD8916"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(-17.3129)</w:t>
            </w:r>
          </w:p>
        </w:tc>
        <w:tc>
          <w:tcPr>
            <w:tcW w:w="1571" w:type="dxa"/>
            <w:tcBorders>
              <w:top w:val="nil"/>
              <w:left w:val="nil"/>
              <w:bottom w:val="nil"/>
              <w:right w:val="nil"/>
            </w:tcBorders>
            <w:shd w:val="clear" w:color="auto" w:fill="auto"/>
            <w:noWrap/>
            <w:vAlign w:val="bottom"/>
          </w:tcPr>
          <w:p w14:paraId="0740E0DF"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765" w:type="dxa"/>
            <w:tcBorders>
              <w:top w:val="nil"/>
              <w:left w:val="nil"/>
              <w:bottom w:val="nil"/>
              <w:right w:val="nil"/>
            </w:tcBorders>
            <w:shd w:val="clear" w:color="auto" w:fill="auto"/>
            <w:noWrap/>
            <w:vAlign w:val="bottom"/>
          </w:tcPr>
          <w:p w14:paraId="5EFF704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(-4.2343)</w:t>
            </w:r>
          </w:p>
        </w:tc>
      </w:tr>
      <w:tr w:rsidR="001C51B9" w:rsidRPr="00D4376E" w14:paraId="79123328" w14:textId="77777777" w:rsidTr="005436B9">
        <w:trPr>
          <w:trHeight w:val="269"/>
        </w:trPr>
        <w:tc>
          <w:tcPr>
            <w:tcW w:w="2448" w:type="dxa"/>
            <w:tcBorders>
              <w:top w:val="nil"/>
              <w:left w:val="nil"/>
              <w:bottom w:val="nil"/>
              <w:right w:val="nil"/>
            </w:tcBorders>
            <w:shd w:val="clear" w:color="auto" w:fill="auto"/>
            <w:noWrap/>
            <w:vAlign w:val="bottom"/>
          </w:tcPr>
          <w:p w14:paraId="04D18ECC"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AEM*LAW</w:t>
            </w:r>
          </w:p>
        </w:tc>
        <w:tc>
          <w:tcPr>
            <w:tcW w:w="1821" w:type="dxa"/>
            <w:tcBorders>
              <w:top w:val="nil"/>
              <w:left w:val="nil"/>
              <w:bottom w:val="nil"/>
              <w:right w:val="nil"/>
            </w:tcBorders>
            <w:shd w:val="clear" w:color="auto" w:fill="auto"/>
            <w:noWrap/>
            <w:vAlign w:val="bottom"/>
          </w:tcPr>
          <w:p w14:paraId="765FD583"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558F05A3"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6AD83294"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-0.0026</w:t>
            </w:r>
          </w:p>
        </w:tc>
        <w:tc>
          <w:tcPr>
            <w:tcW w:w="1765" w:type="dxa"/>
            <w:tcBorders>
              <w:top w:val="nil"/>
              <w:left w:val="nil"/>
              <w:bottom w:val="nil"/>
              <w:right w:val="nil"/>
            </w:tcBorders>
            <w:shd w:val="clear" w:color="auto" w:fill="auto"/>
            <w:noWrap/>
            <w:vAlign w:val="bottom"/>
          </w:tcPr>
          <w:p w14:paraId="031934FB"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2D14A2D0" w14:textId="77777777" w:rsidTr="005436B9">
        <w:trPr>
          <w:trHeight w:val="269"/>
        </w:trPr>
        <w:tc>
          <w:tcPr>
            <w:tcW w:w="2448" w:type="dxa"/>
            <w:tcBorders>
              <w:top w:val="nil"/>
              <w:left w:val="nil"/>
              <w:bottom w:val="nil"/>
              <w:right w:val="nil"/>
            </w:tcBorders>
            <w:shd w:val="clear" w:color="auto" w:fill="auto"/>
            <w:noWrap/>
            <w:vAlign w:val="bottom"/>
          </w:tcPr>
          <w:p w14:paraId="4A418BA8"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821" w:type="dxa"/>
            <w:tcBorders>
              <w:top w:val="nil"/>
              <w:left w:val="nil"/>
              <w:bottom w:val="nil"/>
              <w:right w:val="nil"/>
            </w:tcBorders>
            <w:shd w:val="clear" w:color="auto" w:fill="auto"/>
            <w:noWrap/>
            <w:vAlign w:val="bottom"/>
          </w:tcPr>
          <w:p w14:paraId="4F977BD4"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01765F04"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3527DE9E"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(-0.2506)</w:t>
            </w:r>
          </w:p>
        </w:tc>
        <w:tc>
          <w:tcPr>
            <w:tcW w:w="1765" w:type="dxa"/>
            <w:tcBorders>
              <w:top w:val="nil"/>
              <w:left w:val="nil"/>
              <w:bottom w:val="nil"/>
              <w:right w:val="nil"/>
            </w:tcBorders>
            <w:shd w:val="clear" w:color="auto" w:fill="auto"/>
            <w:noWrap/>
            <w:vAlign w:val="bottom"/>
          </w:tcPr>
          <w:p w14:paraId="559415C9"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29452E99" w14:textId="77777777" w:rsidTr="005436B9">
        <w:trPr>
          <w:trHeight w:val="269"/>
        </w:trPr>
        <w:tc>
          <w:tcPr>
            <w:tcW w:w="2448" w:type="dxa"/>
            <w:tcBorders>
              <w:top w:val="nil"/>
              <w:left w:val="nil"/>
              <w:bottom w:val="nil"/>
              <w:right w:val="nil"/>
            </w:tcBorders>
            <w:shd w:val="clear" w:color="auto" w:fill="auto"/>
            <w:noWrap/>
            <w:vAlign w:val="bottom"/>
          </w:tcPr>
          <w:p w14:paraId="0BB6DF2E"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RAM*LAW</w:t>
            </w:r>
          </w:p>
        </w:tc>
        <w:tc>
          <w:tcPr>
            <w:tcW w:w="1821" w:type="dxa"/>
            <w:tcBorders>
              <w:top w:val="nil"/>
              <w:left w:val="nil"/>
              <w:bottom w:val="nil"/>
              <w:right w:val="nil"/>
            </w:tcBorders>
            <w:shd w:val="clear" w:color="auto" w:fill="auto"/>
            <w:noWrap/>
            <w:vAlign w:val="bottom"/>
          </w:tcPr>
          <w:p w14:paraId="019CA47B"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715EC212"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5B48200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-0.0246**</w:t>
            </w:r>
          </w:p>
        </w:tc>
        <w:tc>
          <w:tcPr>
            <w:tcW w:w="1765" w:type="dxa"/>
            <w:tcBorders>
              <w:top w:val="nil"/>
              <w:left w:val="nil"/>
              <w:bottom w:val="nil"/>
              <w:right w:val="nil"/>
            </w:tcBorders>
            <w:shd w:val="clear" w:color="auto" w:fill="auto"/>
            <w:noWrap/>
            <w:vAlign w:val="bottom"/>
          </w:tcPr>
          <w:p w14:paraId="7900A84B"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21D6D72F" w14:textId="77777777" w:rsidTr="005436B9">
        <w:trPr>
          <w:trHeight w:val="269"/>
        </w:trPr>
        <w:tc>
          <w:tcPr>
            <w:tcW w:w="2448" w:type="dxa"/>
            <w:tcBorders>
              <w:top w:val="nil"/>
              <w:left w:val="nil"/>
              <w:bottom w:val="nil"/>
              <w:right w:val="nil"/>
            </w:tcBorders>
            <w:shd w:val="clear" w:color="auto" w:fill="auto"/>
            <w:noWrap/>
            <w:vAlign w:val="bottom"/>
          </w:tcPr>
          <w:p w14:paraId="5E19660B"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821" w:type="dxa"/>
            <w:tcBorders>
              <w:top w:val="nil"/>
              <w:left w:val="nil"/>
              <w:bottom w:val="nil"/>
              <w:right w:val="nil"/>
            </w:tcBorders>
            <w:shd w:val="clear" w:color="auto" w:fill="auto"/>
            <w:noWrap/>
            <w:vAlign w:val="bottom"/>
          </w:tcPr>
          <w:p w14:paraId="0F6C9242"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5333B4C8"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01AB4F73"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(-2.3542)</w:t>
            </w:r>
          </w:p>
        </w:tc>
        <w:tc>
          <w:tcPr>
            <w:tcW w:w="1765" w:type="dxa"/>
            <w:tcBorders>
              <w:top w:val="nil"/>
              <w:left w:val="nil"/>
              <w:bottom w:val="nil"/>
              <w:right w:val="nil"/>
            </w:tcBorders>
            <w:shd w:val="clear" w:color="auto" w:fill="auto"/>
            <w:noWrap/>
            <w:vAlign w:val="bottom"/>
          </w:tcPr>
          <w:p w14:paraId="2413ACBF"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23E02D08" w14:textId="77777777" w:rsidTr="005436B9">
        <w:trPr>
          <w:trHeight w:val="269"/>
        </w:trPr>
        <w:tc>
          <w:tcPr>
            <w:tcW w:w="2448" w:type="dxa"/>
            <w:tcBorders>
              <w:top w:val="nil"/>
              <w:left w:val="nil"/>
              <w:bottom w:val="nil"/>
              <w:right w:val="nil"/>
            </w:tcBorders>
            <w:shd w:val="clear" w:color="auto" w:fill="auto"/>
            <w:noWrap/>
            <w:vAlign w:val="bottom"/>
          </w:tcPr>
          <w:p w14:paraId="4A09EE9B"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TAR*LAW</w:t>
            </w:r>
          </w:p>
        </w:tc>
        <w:tc>
          <w:tcPr>
            <w:tcW w:w="1821" w:type="dxa"/>
            <w:tcBorders>
              <w:top w:val="nil"/>
              <w:left w:val="nil"/>
              <w:bottom w:val="nil"/>
              <w:right w:val="nil"/>
            </w:tcBorders>
            <w:shd w:val="clear" w:color="auto" w:fill="auto"/>
            <w:noWrap/>
            <w:vAlign w:val="bottom"/>
          </w:tcPr>
          <w:p w14:paraId="7A13838D"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59AAB0DB"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044FAC7C"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765" w:type="dxa"/>
            <w:tcBorders>
              <w:top w:val="nil"/>
              <w:left w:val="nil"/>
              <w:bottom w:val="nil"/>
              <w:right w:val="nil"/>
            </w:tcBorders>
            <w:shd w:val="clear" w:color="auto" w:fill="auto"/>
            <w:noWrap/>
            <w:vAlign w:val="bottom"/>
          </w:tcPr>
          <w:p w14:paraId="7F98CC3D"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-0.0114*</w:t>
            </w:r>
          </w:p>
        </w:tc>
      </w:tr>
      <w:tr w:rsidR="001C51B9" w:rsidRPr="00D4376E" w14:paraId="2AD27C76" w14:textId="77777777" w:rsidTr="005436B9">
        <w:trPr>
          <w:trHeight w:val="269"/>
        </w:trPr>
        <w:tc>
          <w:tcPr>
            <w:tcW w:w="2448" w:type="dxa"/>
            <w:tcBorders>
              <w:top w:val="nil"/>
              <w:left w:val="nil"/>
              <w:bottom w:val="nil"/>
              <w:right w:val="nil"/>
            </w:tcBorders>
            <w:shd w:val="clear" w:color="auto" w:fill="auto"/>
            <w:noWrap/>
            <w:vAlign w:val="bottom"/>
          </w:tcPr>
          <w:p w14:paraId="6A2C62E5"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p>
        </w:tc>
        <w:tc>
          <w:tcPr>
            <w:tcW w:w="1821" w:type="dxa"/>
            <w:tcBorders>
              <w:top w:val="nil"/>
              <w:left w:val="nil"/>
              <w:bottom w:val="nil"/>
              <w:right w:val="nil"/>
            </w:tcBorders>
            <w:shd w:val="clear" w:color="auto" w:fill="auto"/>
            <w:noWrap/>
            <w:vAlign w:val="bottom"/>
          </w:tcPr>
          <w:p w14:paraId="43DAE6F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3FDBBAFE"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6BA188A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765" w:type="dxa"/>
            <w:tcBorders>
              <w:top w:val="nil"/>
              <w:left w:val="nil"/>
              <w:bottom w:val="nil"/>
              <w:right w:val="nil"/>
            </w:tcBorders>
            <w:shd w:val="clear" w:color="auto" w:fill="auto"/>
            <w:noWrap/>
            <w:vAlign w:val="bottom"/>
          </w:tcPr>
          <w:p w14:paraId="2F03409C"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(-1.6985)</w:t>
            </w:r>
          </w:p>
        </w:tc>
      </w:tr>
      <w:tr w:rsidR="001C51B9" w:rsidRPr="00D4376E" w14:paraId="6815F30D" w14:textId="77777777" w:rsidTr="005436B9">
        <w:trPr>
          <w:trHeight w:val="269"/>
        </w:trPr>
        <w:tc>
          <w:tcPr>
            <w:tcW w:w="2448" w:type="dxa"/>
            <w:tcBorders>
              <w:top w:val="nil"/>
              <w:left w:val="nil"/>
              <w:bottom w:val="nil"/>
              <w:right w:val="nil"/>
            </w:tcBorders>
            <w:shd w:val="clear" w:color="auto" w:fill="auto"/>
            <w:noWrap/>
            <w:vAlign w:val="bottom"/>
          </w:tcPr>
          <w:p w14:paraId="67FD81E6" w14:textId="77777777" w:rsidR="001C51B9" w:rsidRPr="005436B9" w:rsidRDefault="001C51B9" w:rsidP="005436B9">
            <w:pPr>
              <w:spacing w:after="0" w:line="240" w:lineRule="auto"/>
              <w:rPr>
                <w:rFonts w:ascii="Times New Roman" w:eastAsia="Times New Roman" w:hAnsi="Times New Roman" w:cs="Times New Roman"/>
                <w:sz w:val="20"/>
                <w:szCs w:val="20"/>
                <w:lang w:eastAsia="en-NZ"/>
              </w:rPr>
            </w:pPr>
            <w:r w:rsidRPr="005436B9">
              <w:rPr>
                <w:rFonts w:ascii="Times New Roman" w:eastAsia="Times New Roman" w:hAnsi="Times New Roman" w:cs="Times New Roman"/>
                <w:sz w:val="20"/>
                <w:szCs w:val="20"/>
                <w:lang w:eastAsia="en-NZ"/>
              </w:rPr>
              <w:t>LAW</w:t>
            </w:r>
          </w:p>
        </w:tc>
        <w:tc>
          <w:tcPr>
            <w:tcW w:w="1821" w:type="dxa"/>
            <w:tcBorders>
              <w:top w:val="nil"/>
              <w:left w:val="nil"/>
              <w:bottom w:val="nil"/>
              <w:right w:val="nil"/>
            </w:tcBorders>
            <w:shd w:val="clear" w:color="auto" w:fill="auto"/>
            <w:noWrap/>
            <w:vAlign w:val="bottom"/>
          </w:tcPr>
          <w:p w14:paraId="036D35E4"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0FB91D6F"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4BAAE83E"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0.0595**</w:t>
            </w:r>
          </w:p>
        </w:tc>
        <w:tc>
          <w:tcPr>
            <w:tcW w:w="1765" w:type="dxa"/>
            <w:tcBorders>
              <w:top w:val="nil"/>
              <w:left w:val="nil"/>
              <w:bottom w:val="nil"/>
              <w:right w:val="nil"/>
            </w:tcBorders>
            <w:shd w:val="clear" w:color="auto" w:fill="auto"/>
            <w:noWrap/>
            <w:vAlign w:val="bottom"/>
          </w:tcPr>
          <w:p w14:paraId="769C5FD9"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0.0631***</w:t>
            </w:r>
          </w:p>
        </w:tc>
      </w:tr>
      <w:tr w:rsidR="001C51B9" w:rsidRPr="00D4376E" w14:paraId="3EE238C9" w14:textId="77777777" w:rsidTr="005436B9">
        <w:trPr>
          <w:trHeight w:val="269"/>
        </w:trPr>
        <w:tc>
          <w:tcPr>
            <w:tcW w:w="2448" w:type="dxa"/>
            <w:tcBorders>
              <w:top w:val="nil"/>
              <w:left w:val="nil"/>
              <w:bottom w:val="nil"/>
              <w:right w:val="nil"/>
            </w:tcBorders>
            <w:shd w:val="clear" w:color="auto" w:fill="auto"/>
            <w:noWrap/>
            <w:vAlign w:val="bottom"/>
          </w:tcPr>
          <w:p w14:paraId="2D1A373B" w14:textId="77777777" w:rsidR="001C51B9" w:rsidRPr="00D4376E" w:rsidRDefault="001C51B9" w:rsidP="005436B9">
            <w:pPr>
              <w:spacing w:after="0" w:line="240" w:lineRule="auto"/>
              <w:rPr>
                <w:rFonts w:ascii="Times New Roman" w:eastAsia="Times New Roman" w:hAnsi="Times New Roman" w:cs="Times New Roman"/>
                <w:i/>
                <w:iCs/>
                <w:sz w:val="20"/>
                <w:szCs w:val="20"/>
                <w:lang w:eastAsia="en-NZ"/>
              </w:rPr>
            </w:pPr>
          </w:p>
        </w:tc>
        <w:tc>
          <w:tcPr>
            <w:tcW w:w="1821" w:type="dxa"/>
            <w:tcBorders>
              <w:top w:val="nil"/>
              <w:left w:val="nil"/>
              <w:bottom w:val="nil"/>
              <w:right w:val="nil"/>
            </w:tcBorders>
            <w:shd w:val="clear" w:color="auto" w:fill="auto"/>
            <w:noWrap/>
            <w:vAlign w:val="bottom"/>
          </w:tcPr>
          <w:p w14:paraId="61C58F6C"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731C1CE4"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188D3DEF"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(2.4526)</w:t>
            </w:r>
          </w:p>
        </w:tc>
        <w:tc>
          <w:tcPr>
            <w:tcW w:w="1765" w:type="dxa"/>
            <w:tcBorders>
              <w:top w:val="nil"/>
              <w:left w:val="nil"/>
              <w:bottom w:val="nil"/>
              <w:right w:val="nil"/>
            </w:tcBorders>
            <w:shd w:val="clear" w:color="auto" w:fill="auto"/>
            <w:noWrap/>
            <w:vAlign w:val="bottom"/>
          </w:tcPr>
          <w:p w14:paraId="7D8DAAE6"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(2.5766)</w:t>
            </w:r>
          </w:p>
        </w:tc>
      </w:tr>
      <w:tr w:rsidR="001C51B9" w:rsidRPr="00D4376E" w14:paraId="0CD38872" w14:textId="77777777" w:rsidTr="005436B9">
        <w:trPr>
          <w:trHeight w:val="269"/>
        </w:trPr>
        <w:tc>
          <w:tcPr>
            <w:tcW w:w="2448" w:type="dxa"/>
            <w:tcBorders>
              <w:top w:val="nil"/>
              <w:left w:val="nil"/>
              <w:bottom w:val="nil"/>
              <w:right w:val="nil"/>
            </w:tcBorders>
            <w:shd w:val="clear" w:color="auto" w:fill="auto"/>
            <w:noWrap/>
            <w:vAlign w:val="bottom"/>
          </w:tcPr>
          <w:p w14:paraId="07A93AFC" w14:textId="77777777" w:rsidR="001C51B9" w:rsidRPr="005436B9" w:rsidRDefault="001C51B9" w:rsidP="005436B9">
            <w:pPr>
              <w:spacing w:after="0" w:line="240" w:lineRule="auto"/>
              <w:rPr>
                <w:rFonts w:ascii="Times New Roman" w:eastAsia="Times New Roman" w:hAnsi="Times New Roman" w:cs="Times New Roman"/>
                <w:i/>
                <w:iCs/>
                <w:sz w:val="20"/>
                <w:szCs w:val="20"/>
                <w:lang w:eastAsia="en-NZ"/>
              </w:rPr>
            </w:pPr>
            <w:r w:rsidRPr="00D4376E">
              <w:rPr>
                <w:rFonts w:ascii="Times New Roman" w:eastAsia="Times New Roman" w:hAnsi="Times New Roman" w:cs="Times New Roman"/>
                <w:sz w:val="20"/>
                <w:szCs w:val="20"/>
                <w:lang w:eastAsia="en-NZ"/>
              </w:rPr>
              <w:t>Constant</w:t>
            </w:r>
          </w:p>
        </w:tc>
        <w:tc>
          <w:tcPr>
            <w:tcW w:w="1821" w:type="dxa"/>
            <w:tcBorders>
              <w:top w:val="nil"/>
              <w:left w:val="nil"/>
              <w:bottom w:val="nil"/>
              <w:right w:val="nil"/>
            </w:tcBorders>
            <w:shd w:val="clear" w:color="auto" w:fill="auto"/>
            <w:noWrap/>
            <w:vAlign w:val="bottom"/>
          </w:tcPr>
          <w:p w14:paraId="02487F5C" w14:textId="77777777" w:rsidR="001C51B9" w:rsidRPr="005436B9"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-0.1166***</w:t>
            </w:r>
          </w:p>
        </w:tc>
        <w:tc>
          <w:tcPr>
            <w:tcW w:w="1421" w:type="dxa"/>
            <w:tcBorders>
              <w:top w:val="nil"/>
              <w:left w:val="nil"/>
              <w:bottom w:val="nil"/>
              <w:right w:val="nil"/>
            </w:tcBorders>
            <w:shd w:val="clear" w:color="auto" w:fill="auto"/>
            <w:noWrap/>
            <w:vAlign w:val="bottom"/>
          </w:tcPr>
          <w:p w14:paraId="324AAD89"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-0.1239***</w:t>
            </w:r>
          </w:p>
        </w:tc>
        <w:tc>
          <w:tcPr>
            <w:tcW w:w="1571" w:type="dxa"/>
            <w:tcBorders>
              <w:top w:val="nil"/>
              <w:left w:val="nil"/>
              <w:bottom w:val="nil"/>
              <w:right w:val="nil"/>
            </w:tcBorders>
            <w:shd w:val="clear" w:color="auto" w:fill="auto"/>
            <w:noWrap/>
            <w:vAlign w:val="bottom"/>
          </w:tcPr>
          <w:p w14:paraId="75F034B0"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-0.0995**</w:t>
            </w:r>
          </w:p>
        </w:tc>
        <w:tc>
          <w:tcPr>
            <w:tcW w:w="1765" w:type="dxa"/>
            <w:tcBorders>
              <w:top w:val="nil"/>
              <w:left w:val="nil"/>
              <w:bottom w:val="nil"/>
              <w:right w:val="nil"/>
            </w:tcBorders>
            <w:shd w:val="clear" w:color="auto" w:fill="auto"/>
            <w:noWrap/>
            <w:vAlign w:val="bottom"/>
          </w:tcPr>
          <w:p w14:paraId="1B224591"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-0.1072**</w:t>
            </w:r>
          </w:p>
        </w:tc>
      </w:tr>
      <w:tr w:rsidR="001C51B9" w:rsidRPr="00D4376E" w14:paraId="051A3636" w14:textId="77777777" w:rsidTr="005436B9">
        <w:trPr>
          <w:trHeight w:val="269"/>
        </w:trPr>
        <w:tc>
          <w:tcPr>
            <w:tcW w:w="2448" w:type="dxa"/>
            <w:tcBorders>
              <w:top w:val="nil"/>
              <w:left w:val="nil"/>
              <w:bottom w:val="nil"/>
              <w:right w:val="nil"/>
            </w:tcBorders>
            <w:shd w:val="clear" w:color="auto" w:fill="auto"/>
            <w:noWrap/>
            <w:vAlign w:val="bottom"/>
          </w:tcPr>
          <w:p w14:paraId="2A263CCE" w14:textId="77777777" w:rsidR="001C51B9" w:rsidRPr="005436B9" w:rsidRDefault="001C51B9" w:rsidP="005436B9">
            <w:pPr>
              <w:spacing w:after="0" w:line="240" w:lineRule="auto"/>
              <w:rPr>
                <w:rFonts w:ascii="Times New Roman" w:eastAsia="Times New Roman" w:hAnsi="Times New Roman" w:cs="Times New Roman"/>
                <w:i/>
                <w:iCs/>
                <w:sz w:val="20"/>
                <w:szCs w:val="20"/>
                <w:lang w:eastAsia="en-NZ"/>
              </w:rPr>
            </w:pPr>
          </w:p>
        </w:tc>
        <w:tc>
          <w:tcPr>
            <w:tcW w:w="1821" w:type="dxa"/>
            <w:tcBorders>
              <w:top w:val="nil"/>
              <w:left w:val="nil"/>
              <w:bottom w:val="nil"/>
              <w:right w:val="nil"/>
            </w:tcBorders>
            <w:shd w:val="clear" w:color="auto" w:fill="auto"/>
            <w:noWrap/>
            <w:vAlign w:val="bottom"/>
          </w:tcPr>
          <w:p w14:paraId="17F777F1" w14:textId="77777777" w:rsidR="001C51B9" w:rsidRPr="005436B9"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(-2.7058)</w:t>
            </w:r>
          </w:p>
        </w:tc>
        <w:tc>
          <w:tcPr>
            <w:tcW w:w="1421" w:type="dxa"/>
            <w:tcBorders>
              <w:top w:val="nil"/>
              <w:left w:val="nil"/>
              <w:bottom w:val="nil"/>
              <w:right w:val="nil"/>
            </w:tcBorders>
            <w:shd w:val="clear" w:color="auto" w:fill="auto"/>
            <w:noWrap/>
            <w:vAlign w:val="bottom"/>
          </w:tcPr>
          <w:p w14:paraId="0BC10882"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(-2.8385)</w:t>
            </w:r>
          </w:p>
        </w:tc>
        <w:tc>
          <w:tcPr>
            <w:tcW w:w="1571" w:type="dxa"/>
            <w:tcBorders>
              <w:top w:val="nil"/>
              <w:left w:val="nil"/>
              <w:bottom w:val="nil"/>
              <w:right w:val="nil"/>
            </w:tcBorders>
            <w:shd w:val="clear" w:color="auto" w:fill="auto"/>
            <w:noWrap/>
            <w:vAlign w:val="bottom"/>
          </w:tcPr>
          <w:p w14:paraId="0770204C"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(-2.2362)</w:t>
            </w:r>
          </w:p>
        </w:tc>
        <w:tc>
          <w:tcPr>
            <w:tcW w:w="1765" w:type="dxa"/>
            <w:tcBorders>
              <w:top w:val="nil"/>
              <w:left w:val="nil"/>
              <w:bottom w:val="nil"/>
              <w:right w:val="nil"/>
            </w:tcBorders>
            <w:shd w:val="clear" w:color="auto" w:fill="auto"/>
            <w:noWrap/>
            <w:vAlign w:val="bottom"/>
          </w:tcPr>
          <w:p w14:paraId="7393B882" w14:textId="77777777" w:rsidR="001C51B9" w:rsidRPr="005436B9" w:rsidRDefault="001C51B9" w:rsidP="005436B9">
            <w:pPr>
              <w:spacing w:after="0" w:line="240" w:lineRule="auto"/>
              <w:jc w:val="center"/>
              <w:rPr>
                <w:rFonts w:ascii="Times New Roman" w:hAnsi="Times New Roman" w:cs="Times New Roman"/>
                <w:color w:val="000000"/>
                <w:sz w:val="20"/>
                <w:szCs w:val="20"/>
              </w:rPr>
            </w:pPr>
            <w:r w:rsidRPr="005436B9">
              <w:rPr>
                <w:rFonts w:ascii="Times New Roman" w:hAnsi="Times New Roman" w:cs="Times New Roman"/>
                <w:color w:val="000000"/>
                <w:sz w:val="20"/>
                <w:szCs w:val="20"/>
              </w:rPr>
              <w:t>(-2.3845)</w:t>
            </w:r>
          </w:p>
        </w:tc>
      </w:tr>
      <w:tr w:rsidR="001C51B9" w:rsidRPr="00D4376E" w14:paraId="561E14A8" w14:textId="77777777" w:rsidTr="005436B9">
        <w:trPr>
          <w:trHeight w:val="269"/>
        </w:trPr>
        <w:tc>
          <w:tcPr>
            <w:tcW w:w="2448" w:type="dxa"/>
            <w:tcBorders>
              <w:top w:val="nil"/>
              <w:left w:val="nil"/>
              <w:bottom w:val="nil"/>
              <w:right w:val="nil"/>
            </w:tcBorders>
            <w:shd w:val="clear" w:color="auto" w:fill="auto"/>
            <w:noWrap/>
            <w:vAlign w:val="bottom"/>
          </w:tcPr>
          <w:p w14:paraId="599E6725"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RAM-AEM</w:t>
            </w:r>
          </w:p>
        </w:tc>
        <w:tc>
          <w:tcPr>
            <w:tcW w:w="1821" w:type="dxa"/>
            <w:tcBorders>
              <w:top w:val="nil"/>
              <w:left w:val="nil"/>
              <w:bottom w:val="nil"/>
              <w:right w:val="nil"/>
            </w:tcBorders>
            <w:shd w:val="clear" w:color="auto" w:fill="auto"/>
            <w:noWrap/>
            <w:vAlign w:val="bottom"/>
          </w:tcPr>
          <w:p w14:paraId="2CE7D2C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-0.074</w:t>
            </w:r>
            <w:r w:rsidRPr="005436B9">
              <w:rPr>
                <w:rFonts w:ascii="Times New Roman" w:eastAsia="Times New Roman" w:hAnsi="Times New Roman" w:cs="Times New Roman"/>
                <w:sz w:val="20"/>
                <w:szCs w:val="20"/>
                <w:lang w:eastAsia="en-NZ"/>
              </w:rPr>
              <w:t>6</w:t>
            </w:r>
            <w:r w:rsidRPr="00D4376E">
              <w:rPr>
                <w:rFonts w:ascii="Times New Roman" w:eastAsia="Times New Roman" w:hAnsi="Times New Roman" w:cs="Times New Roman"/>
                <w:sz w:val="20"/>
                <w:szCs w:val="20"/>
                <w:lang w:eastAsia="en-NZ"/>
              </w:rPr>
              <w:t>***</w:t>
            </w:r>
          </w:p>
        </w:tc>
        <w:tc>
          <w:tcPr>
            <w:tcW w:w="1421" w:type="dxa"/>
            <w:tcBorders>
              <w:top w:val="nil"/>
              <w:left w:val="nil"/>
              <w:bottom w:val="nil"/>
              <w:right w:val="nil"/>
            </w:tcBorders>
            <w:shd w:val="clear" w:color="auto" w:fill="auto"/>
            <w:noWrap/>
            <w:vAlign w:val="bottom"/>
          </w:tcPr>
          <w:p w14:paraId="548D078F"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4167E3CC"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D4376E">
              <w:rPr>
                <w:rFonts w:ascii="Times New Roman" w:hAnsi="Times New Roman" w:cs="Times New Roman"/>
                <w:color w:val="000000"/>
                <w:sz w:val="20"/>
                <w:szCs w:val="20"/>
              </w:rPr>
              <w:t>-0.03</w:t>
            </w:r>
            <w:r w:rsidRPr="005436B9">
              <w:rPr>
                <w:rFonts w:ascii="Times New Roman" w:hAnsi="Times New Roman" w:cs="Times New Roman"/>
                <w:color w:val="000000"/>
                <w:sz w:val="20"/>
                <w:szCs w:val="20"/>
              </w:rPr>
              <w:t>05</w:t>
            </w:r>
          </w:p>
        </w:tc>
        <w:tc>
          <w:tcPr>
            <w:tcW w:w="1765" w:type="dxa"/>
            <w:tcBorders>
              <w:top w:val="nil"/>
              <w:left w:val="nil"/>
              <w:bottom w:val="nil"/>
              <w:right w:val="nil"/>
            </w:tcBorders>
            <w:shd w:val="clear" w:color="auto" w:fill="auto"/>
            <w:noWrap/>
            <w:vAlign w:val="bottom"/>
          </w:tcPr>
          <w:p w14:paraId="499AE3B3"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02CA8993" w14:textId="77777777" w:rsidTr="005436B9">
        <w:trPr>
          <w:trHeight w:val="269"/>
        </w:trPr>
        <w:tc>
          <w:tcPr>
            <w:tcW w:w="2448" w:type="dxa"/>
            <w:tcBorders>
              <w:top w:val="nil"/>
              <w:left w:val="nil"/>
              <w:bottom w:val="nil"/>
              <w:right w:val="nil"/>
            </w:tcBorders>
            <w:shd w:val="clear" w:color="auto" w:fill="auto"/>
            <w:noWrap/>
            <w:vAlign w:val="bottom"/>
          </w:tcPr>
          <w:p w14:paraId="5B0B4792" w14:textId="77777777" w:rsidR="001C51B9" w:rsidRPr="00D4376E" w:rsidRDefault="001C51B9" w:rsidP="005436B9">
            <w:pPr>
              <w:spacing w:after="0" w:line="240" w:lineRule="auto"/>
              <w:rPr>
                <w:rFonts w:ascii="Times New Roman" w:eastAsia="Times New Roman" w:hAnsi="Times New Roman" w:cs="Times New Roman"/>
                <w:i/>
                <w:iCs/>
                <w:sz w:val="20"/>
                <w:szCs w:val="20"/>
                <w:lang w:eastAsia="en-NZ"/>
              </w:rPr>
            </w:pPr>
            <w:r w:rsidRPr="00D4376E">
              <w:rPr>
                <w:rFonts w:ascii="Times New Roman" w:eastAsia="Times New Roman" w:hAnsi="Times New Roman" w:cs="Times New Roman"/>
                <w:i/>
                <w:iCs/>
                <w:sz w:val="20"/>
                <w:szCs w:val="20"/>
                <w:lang w:eastAsia="en-NZ"/>
              </w:rPr>
              <w:t>(F-statistics)</w:t>
            </w:r>
          </w:p>
        </w:tc>
        <w:tc>
          <w:tcPr>
            <w:tcW w:w="1821" w:type="dxa"/>
            <w:tcBorders>
              <w:top w:val="nil"/>
              <w:left w:val="nil"/>
              <w:bottom w:val="nil"/>
              <w:right w:val="nil"/>
            </w:tcBorders>
            <w:shd w:val="clear" w:color="auto" w:fill="auto"/>
            <w:noWrap/>
            <w:vAlign w:val="bottom"/>
          </w:tcPr>
          <w:p w14:paraId="5AC5A45F"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w:t>
            </w:r>
            <w:r w:rsidRPr="005436B9">
              <w:rPr>
                <w:rFonts w:ascii="Times New Roman" w:eastAsia="Times New Roman" w:hAnsi="Times New Roman" w:cs="Times New Roman"/>
                <w:sz w:val="20"/>
                <w:szCs w:val="20"/>
                <w:lang w:eastAsia="en-NZ"/>
              </w:rPr>
              <w:t>98.89</w:t>
            </w:r>
            <w:r w:rsidRPr="00D4376E">
              <w:rPr>
                <w:rFonts w:ascii="Times New Roman" w:eastAsia="Times New Roman" w:hAnsi="Times New Roman" w:cs="Times New Roman"/>
                <w:sz w:val="20"/>
                <w:szCs w:val="20"/>
                <w:lang w:eastAsia="en-NZ"/>
              </w:rPr>
              <w:t>]</w:t>
            </w:r>
          </w:p>
        </w:tc>
        <w:tc>
          <w:tcPr>
            <w:tcW w:w="1421" w:type="dxa"/>
            <w:tcBorders>
              <w:top w:val="nil"/>
              <w:left w:val="nil"/>
              <w:bottom w:val="nil"/>
              <w:right w:val="nil"/>
            </w:tcBorders>
            <w:shd w:val="clear" w:color="auto" w:fill="auto"/>
            <w:noWrap/>
            <w:vAlign w:val="bottom"/>
          </w:tcPr>
          <w:p w14:paraId="6B3FC5C6"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0893210A"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D4376E">
              <w:rPr>
                <w:rFonts w:ascii="Times New Roman" w:hAnsi="Times New Roman" w:cs="Times New Roman"/>
                <w:color w:val="000000"/>
                <w:sz w:val="20"/>
                <w:szCs w:val="20"/>
              </w:rPr>
              <w:t>[1.3</w:t>
            </w:r>
            <w:r w:rsidRPr="005436B9">
              <w:rPr>
                <w:rFonts w:ascii="Times New Roman" w:hAnsi="Times New Roman" w:cs="Times New Roman"/>
                <w:color w:val="000000"/>
                <w:sz w:val="20"/>
                <w:szCs w:val="20"/>
              </w:rPr>
              <w:t>0</w:t>
            </w:r>
            <w:r w:rsidRPr="00D4376E">
              <w:rPr>
                <w:rFonts w:ascii="Times New Roman" w:hAnsi="Times New Roman" w:cs="Times New Roman"/>
                <w:color w:val="000000"/>
                <w:sz w:val="20"/>
                <w:szCs w:val="20"/>
              </w:rPr>
              <w:t>]</w:t>
            </w:r>
          </w:p>
        </w:tc>
        <w:tc>
          <w:tcPr>
            <w:tcW w:w="1765" w:type="dxa"/>
            <w:tcBorders>
              <w:top w:val="nil"/>
              <w:left w:val="nil"/>
              <w:bottom w:val="nil"/>
              <w:right w:val="nil"/>
            </w:tcBorders>
            <w:shd w:val="clear" w:color="auto" w:fill="auto"/>
            <w:noWrap/>
            <w:vAlign w:val="bottom"/>
          </w:tcPr>
          <w:p w14:paraId="0F672386"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4B5C5D77" w14:textId="77777777" w:rsidTr="005436B9">
        <w:trPr>
          <w:trHeight w:val="269"/>
        </w:trPr>
        <w:tc>
          <w:tcPr>
            <w:tcW w:w="4269" w:type="dxa"/>
            <w:gridSpan w:val="2"/>
            <w:tcBorders>
              <w:top w:val="nil"/>
              <w:left w:val="nil"/>
              <w:bottom w:val="nil"/>
              <w:right w:val="nil"/>
            </w:tcBorders>
            <w:shd w:val="clear" w:color="auto" w:fill="auto"/>
            <w:noWrap/>
            <w:vAlign w:val="bottom"/>
          </w:tcPr>
          <w:p w14:paraId="2F0C813A"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RAM*LAW-AEM*LAW</w:t>
            </w:r>
          </w:p>
        </w:tc>
        <w:tc>
          <w:tcPr>
            <w:tcW w:w="1421" w:type="dxa"/>
            <w:tcBorders>
              <w:top w:val="nil"/>
              <w:left w:val="nil"/>
              <w:bottom w:val="nil"/>
              <w:right w:val="nil"/>
            </w:tcBorders>
            <w:shd w:val="clear" w:color="auto" w:fill="auto"/>
            <w:noWrap/>
            <w:vAlign w:val="bottom"/>
          </w:tcPr>
          <w:p w14:paraId="0DC66A17"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0FE09A92"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D4376E">
              <w:rPr>
                <w:rFonts w:ascii="Times New Roman" w:hAnsi="Times New Roman" w:cs="Times New Roman"/>
                <w:color w:val="000000"/>
                <w:sz w:val="20"/>
                <w:szCs w:val="20"/>
              </w:rPr>
              <w:t>-0.022</w:t>
            </w:r>
            <w:r w:rsidRPr="005436B9">
              <w:rPr>
                <w:rFonts w:ascii="Times New Roman" w:hAnsi="Times New Roman" w:cs="Times New Roman"/>
                <w:color w:val="000000"/>
                <w:sz w:val="20"/>
                <w:szCs w:val="20"/>
              </w:rPr>
              <w:t>0</w:t>
            </w:r>
            <w:r w:rsidRPr="00D4376E">
              <w:rPr>
                <w:rFonts w:ascii="Times New Roman" w:hAnsi="Times New Roman" w:cs="Times New Roman"/>
                <w:color w:val="000000"/>
                <w:sz w:val="20"/>
                <w:szCs w:val="20"/>
              </w:rPr>
              <w:t>*</w:t>
            </w:r>
          </w:p>
        </w:tc>
        <w:tc>
          <w:tcPr>
            <w:tcW w:w="1765" w:type="dxa"/>
            <w:tcBorders>
              <w:top w:val="nil"/>
              <w:left w:val="nil"/>
              <w:bottom w:val="nil"/>
              <w:right w:val="nil"/>
            </w:tcBorders>
            <w:shd w:val="clear" w:color="auto" w:fill="auto"/>
            <w:noWrap/>
            <w:vAlign w:val="bottom"/>
          </w:tcPr>
          <w:p w14:paraId="36969EF1"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43C2272A" w14:textId="77777777" w:rsidTr="005436B9">
        <w:trPr>
          <w:trHeight w:val="269"/>
        </w:trPr>
        <w:tc>
          <w:tcPr>
            <w:tcW w:w="2448" w:type="dxa"/>
            <w:tcBorders>
              <w:top w:val="nil"/>
              <w:left w:val="nil"/>
              <w:bottom w:val="nil"/>
              <w:right w:val="nil"/>
            </w:tcBorders>
            <w:shd w:val="clear" w:color="auto" w:fill="auto"/>
            <w:noWrap/>
            <w:vAlign w:val="bottom"/>
          </w:tcPr>
          <w:p w14:paraId="317A76DF" w14:textId="77777777" w:rsidR="001C51B9" w:rsidRPr="00D4376E" w:rsidRDefault="001C51B9" w:rsidP="005436B9">
            <w:pPr>
              <w:spacing w:after="0" w:line="240" w:lineRule="auto"/>
              <w:rPr>
                <w:rFonts w:ascii="Times New Roman" w:eastAsia="Times New Roman" w:hAnsi="Times New Roman" w:cs="Times New Roman"/>
                <w:i/>
                <w:iCs/>
                <w:sz w:val="20"/>
                <w:szCs w:val="20"/>
                <w:lang w:eastAsia="en-NZ"/>
              </w:rPr>
            </w:pPr>
            <w:r w:rsidRPr="00D4376E">
              <w:rPr>
                <w:rFonts w:ascii="Times New Roman" w:eastAsia="Times New Roman" w:hAnsi="Times New Roman" w:cs="Times New Roman"/>
                <w:i/>
                <w:iCs/>
                <w:sz w:val="20"/>
                <w:szCs w:val="20"/>
                <w:lang w:eastAsia="en-NZ"/>
              </w:rPr>
              <w:t>(F-statistics)</w:t>
            </w:r>
          </w:p>
        </w:tc>
        <w:tc>
          <w:tcPr>
            <w:tcW w:w="1821" w:type="dxa"/>
            <w:tcBorders>
              <w:top w:val="nil"/>
              <w:left w:val="nil"/>
              <w:bottom w:val="nil"/>
              <w:right w:val="nil"/>
            </w:tcBorders>
            <w:shd w:val="clear" w:color="auto" w:fill="auto"/>
            <w:noWrap/>
            <w:vAlign w:val="bottom"/>
          </w:tcPr>
          <w:p w14:paraId="422F1E48"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24A97EC2"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1570A0B6"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D4376E">
              <w:rPr>
                <w:rFonts w:ascii="Times New Roman" w:hAnsi="Times New Roman" w:cs="Times New Roman"/>
                <w:color w:val="000000"/>
                <w:sz w:val="20"/>
                <w:szCs w:val="20"/>
              </w:rPr>
              <w:t>[2.</w:t>
            </w:r>
            <w:r w:rsidRPr="005436B9">
              <w:rPr>
                <w:rFonts w:ascii="Times New Roman" w:hAnsi="Times New Roman" w:cs="Times New Roman"/>
                <w:color w:val="000000"/>
                <w:sz w:val="20"/>
                <w:szCs w:val="20"/>
              </w:rPr>
              <w:t>86</w:t>
            </w:r>
            <w:r w:rsidRPr="00D4376E">
              <w:rPr>
                <w:rFonts w:ascii="Times New Roman" w:hAnsi="Times New Roman" w:cs="Times New Roman"/>
                <w:color w:val="000000"/>
                <w:sz w:val="20"/>
                <w:szCs w:val="20"/>
              </w:rPr>
              <w:t>]</w:t>
            </w:r>
          </w:p>
        </w:tc>
        <w:tc>
          <w:tcPr>
            <w:tcW w:w="1765" w:type="dxa"/>
            <w:tcBorders>
              <w:top w:val="nil"/>
              <w:left w:val="nil"/>
              <w:bottom w:val="nil"/>
              <w:right w:val="nil"/>
            </w:tcBorders>
            <w:shd w:val="clear" w:color="auto" w:fill="auto"/>
            <w:noWrap/>
            <w:vAlign w:val="bottom"/>
          </w:tcPr>
          <w:p w14:paraId="1CD21D7E"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1D54EFFF" w14:textId="77777777" w:rsidTr="005436B9">
        <w:trPr>
          <w:trHeight w:val="269"/>
        </w:trPr>
        <w:tc>
          <w:tcPr>
            <w:tcW w:w="4269" w:type="dxa"/>
            <w:gridSpan w:val="2"/>
            <w:tcBorders>
              <w:top w:val="nil"/>
              <w:left w:val="nil"/>
              <w:bottom w:val="nil"/>
              <w:right w:val="nil"/>
            </w:tcBorders>
            <w:shd w:val="clear" w:color="auto" w:fill="auto"/>
            <w:noWrap/>
            <w:vAlign w:val="bottom"/>
          </w:tcPr>
          <w:p w14:paraId="0A655F89"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hAnsi="Times New Roman" w:cs="Times New Roman"/>
                <w:color w:val="000000"/>
                <w:sz w:val="20"/>
                <w:szCs w:val="20"/>
              </w:rPr>
              <w:t>[RAM+RAM*LAW]-[AEM+AEM*LAW]</w:t>
            </w:r>
          </w:p>
        </w:tc>
        <w:tc>
          <w:tcPr>
            <w:tcW w:w="1421" w:type="dxa"/>
            <w:tcBorders>
              <w:top w:val="nil"/>
              <w:left w:val="nil"/>
              <w:bottom w:val="nil"/>
              <w:right w:val="nil"/>
            </w:tcBorders>
            <w:shd w:val="clear" w:color="auto" w:fill="auto"/>
            <w:noWrap/>
            <w:vAlign w:val="bottom"/>
          </w:tcPr>
          <w:p w14:paraId="6E0EC61C"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47D31AFB"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D4376E">
              <w:rPr>
                <w:rFonts w:ascii="Times New Roman" w:hAnsi="Times New Roman" w:cs="Times New Roman"/>
                <w:color w:val="000000"/>
                <w:sz w:val="20"/>
                <w:szCs w:val="20"/>
              </w:rPr>
              <w:t>-0.05</w:t>
            </w:r>
            <w:r w:rsidRPr="005436B9">
              <w:rPr>
                <w:rFonts w:ascii="Times New Roman" w:hAnsi="Times New Roman" w:cs="Times New Roman"/>
                <w:color w:val="000000"/>
                <w:sz w:val="20"/>
                <w:szCs w:val="20"/>
              </w:rPr>
              <w:t>25</w:t>
            </w:r>
            <w:r w:rsidRPr="00D4376E">
              <w:rPr>
                <w:rFonts w:ascii="Times New Roman" w:hAnsi="Times New Roman" w:cs="Times New Roman"/>
                <w:color w:val="000000"/>
                <w:sz w:val="20"/>
                <w:szCs w:val="20"/>
              </w:rPr>
              <w:t>***</w:t>
            </w:r>
          </w:p>
        </w:tc>
        <w:tc>
          <w:tcPr>
            <w:tcW w:w="1765" w:type="dxa"/>
            <w:tcBorders>
              <w:top w:val="nil"/>
              <w:left w:val="nil"/>
              <w:bottom w:val="nil"/>
              <w:right w:val="nil"/>
            </w:tcBorders>
            <w:shd w:val="clear" w:color="auto" w:fill="auto"/>
            <w:noWrap/>
            <w:vAlign w:val="bottom"/>
          </w:tcPr>
          <w:p w14:paraId="08BEDDF0"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0F77EC06" w14:textId="77777777" w:rsidTr="005436B9">
        <w:trPr>
          <w:trHeight w:val="269"/>
        </w:trPr>
        <w:tc>
          <w:tcPr>
            <w:tcW w:w="2448" w:type="dxa"/>
            <w:tcBorders>
              <w:top w:val="nil"/>
              <w:left w:val="nil"/>
              <w:bottom w:val="nil"/>
              <w:right w:val="nil"/>
            </w:tcBorders>
            <w:shd w:val="clear" w:color="auto" w:fill="auto"/>
            <w:noWrap/>
            <w:vAlign w:val="bottom"/>
          </w:tcPr>
          <w:p w14:paraId="5E87B8C4" w14:textId="77777777" w:rsidR="001C51B9" w:rsidRPr="00D4376E" w:rsidRDefault="001C51B9" w:rsidP="005436B9">
            <w:pPr>
              <w:spacing w:after="0" w:line="240" w:lineRule="auto"/>
              <w:rPr>
                <w:rFonts w:ascii="Times New Roman" w:eastAsia="Times New Roman" w:hAnsi="Times New Roman" w:cs="Times New Roman"/>
                <w:i/>
                <w:iCs/>
                <w:sz w:val="20"/>
                <w:szCs w:val="20"/>
                <w:lang w:eastAsia="en-NZ"/>
              </w:rPr>
            </w:pPr>
            <w:r w:rsidRPr="00D4376E">
              <w:rPr>
                <w:rFonts w:ascii="Times New Roman" w:eastAsia="Times New Roman" w:hAnsi="Times New Roman" w:cs="Times New Roman"/>
                <w:i/>
                <w:iCs/>
                <w:sz w:val="20"/>
                <w:szCs w:val="20"/>
                <w:lang w:eastAsia="en-NZ"/>
              </w:rPr>
              <w:t>(F-statistics)</w:t>
            </w:r>
          </w:p>
        </w:tc>
        <w:tc>
          <w:tcPr>
            <w:tcW w:w="1821" w:type="dxa"/>
            <w:tcBorders>
              <w:top w:val="nil"/>
              <w:left w:val="nil"/>
              <w:bottom w:val="nil"/>
              <w:right w:val="nil"/>
            </w:tcBorders>
            <w:shd w:val="clear" w:color="auto" w:fill="auto"/>
            <w:noWrap/>
            <w:vAlign w:val="bottom"/>
          </w:tcPr>
          <w:p w14:paraId="17C81AB6"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p>
        </w:tc>
        <w:tc>
          <w:tcPr>
            <w:tcW w:w="1421" w:type="dxa"/>
            <w:tcBorders>
              <w:top w:val="nil"/>
              <w:left w:val="nil"/>
              <w:bottom w:val="nil"/>
              <w:right w:val="nil"/>
            </w:tcBorders>
            <w:shd w:val="clear" w:color="auto" w:fill="auto"/>
            <w:noWrap/>
            <w:vAlign w:val="bottom"/>
          </w:tcPr>
          <w:p w14:paraId="72B573FB"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c>
          <w:tcPr>
            <w:tcW w:w="1571" w:type="dxa"/>
            <w:tcBorders>
              <w:top w:val="nil"/>
              <w:left w:val="nil"/>
              <w:bottom w:val="nil"/>
              <w:right w:val="nil"/>
            </w:tcBorders>
            <w:shd w:val="clear" w:color="auto" w:fill="auto"/>
            <w:noWrap/>
            <w:vAlign w:val="bottom"/>
          </w:tcPr>
          <w:p w14:paraId="362F6968" w14:textId="77777777" w:rsidR="001C51B9" w:rsidRPr="00D4376E" w:rsidRDefault="001C51B9" w:rsidP="005436B9">
            <w:pPr>
              <w:spacing w:after="0" w:line="240" w:lineRule="auto"/>
              <w:jc w:val="center"/>
              <w:rPr>
                <w:rFonts w:ascii="Times New Roman" w:hAnsi="Times New Roman" w:cs="Times New Roman"/>
                <w:color w:val="000000"/>
                <w:sz w:val="20"/>
                <w:szCs w:val="20"/>
              </w:rPr>
            </w:pPr>
            <w:r w:rsidRPr="00D4376E">
              <w:rPr>
                <w:rFonts w:ascii="Times New Roman" w:hAnsi="Times New Roman" w:cs="Times New Roman"/>
                <w:color w:val="000000"/>
                <w:sz w:val="20"/>
                <w:szCs w:val="20"/>
              </w:rPr>
              <w:t>[2</w:t>
            </w:r>
            <w:r w:rsidRPr="005436B9">
              <w:rPr>
                <w:rFonts w:ascii="Times New Roman" w:hAnsi="Times New Roman" w:cs="Times New Roman"/>
                <w:color w:val="000000"/>
                <w:sz w:val="20"/>
                <w:szCs w:val="20"/>
              </w:rPr>
              <w:t>2.35</w:t>
            </w:r>
            <w:r w:rsidRPr="00D4376E">
              <w:rPr>
                <w:rFonts w:ascii="Times New Roman" w:hAnsi="Times New Roman" w:cs="Times New Roman"/>
                <w:color w:val="000000"/>
                <w:sz w:val="20"/>
                <w:szCs w:val="20"/>
              </w:rPr>
              <w:t>]</w:t>
            </w:r>
          </w:p>
        </w:tc>
        <w:tc>
          <w:tcPr>
            <w:tcW w:w="1765" w:type="dxa"/>
            <w:tcBorders>
              <w:top w:val="nil"/>
              <w:left w:val="nil"/>
              <w:bottom w:val="nil"/>
              <w:right w:val="nil"/>
            </w:tcBorders>
            <w:shd w:val="clear" w:color="auto" w:fill="auto"/>
            <w:noWrap/>
            <w:vAlign w:val="bottom"/>
          </w:tcPr>
          <w:p w14:paraId="53EB931F" w14:textId="77777777" w:rsidR="001C51B9" w:rsidRPr="00D4376E" w:rsidRDefault="001C51B9" w:rsidP="005436B9">
            <w:pPr>
              <w:spacing w:after="0" w:line="240" w:lineRule="auto"/>
              <w:jc w:val="center"/>
              <w:rPr>
                <w:rFonts w:ascii="Times New Roman" w:hAnsi="Times New Roman" w:cs="Times New Roman"/>
                <w:color w:val="000000"/>
                <w:sz w:val="20"/>
                <w:szCs w:val="20"/>
              </w:rPr>
            </w:pPr>
          </w:p>
        </w:tc>
      </w:tr>
      <w:tr w:rsidR="001C51B9" w:rsidRPr="00D4376E" w14:paraId="5866ECFC" w14:textId="77777777" w:rsidTr="005436B9">
        <w:trPr>
          <w:trHeight w:val="80"/>
        </w:trPr>
        <w:tc>
          <w:tcPr>
            <w:tcW w:w="2448" w:type="dxa"/>
            <w:tcBorders>
              <w:top w:val="nil"/>
              <w:left w:val="nil"/>
              <w:bottom w:val="nil"/>
              <w:right w:val="nil"/>
            </w:tcBorders>
            <w:shd w:val="clear" w:color="auto" w:fill="auto"/>
            <w:noWrap/>
            <w:vAlign w:val="bottom"/>
            <w:hideMark/>
          </w:tcPr>
          <w:p w14:paraId="06A65AE7"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Controls</w:t>
            </w:r>
          </w:p>
        </w:tc>
        <w:tc>
          <w:tcPr>
            <w:tcW w:w="1821" w:type="dxa"/>
            <w:tcBorders>
              <w:top w:val="nil"/>
              <w:left w:val="nil"/>
              <w:bottom w:val="nil"/>
              <w:right w:val="nil"/>
            </w:tcBorders>
            <w:shd w:val="clear" w:color="auto" w:fill="auto"/>
            <w:noWrap/>
          </w:tcPr>
          <w:p w14:paraId="36FA16A7"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421" w:type="dxa"/>
            <w:tcBorders>
              <w:top w:val="nil"/>
              <w:left w:val="nil"/>
              <w:bottom w:val="nil"/>
              <w:right w:val="nil"/>
            </w:tcBorders>
            <w:shd w:val="clear" w:color="auto" w:fill="auto"/>
            <w:noWrap/>
          </w:tcPr>
          <w:p w14:paraId="3343CA21"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571" w:type="dxa"/>
            <w:tcBorders>
              <w:top w:val="nil"/>
              <w:left w:val="nil"/>
              <w:bottom w:val="nil"/>
              <w:right w:val="nil"/>
            </w:tcBorders>
            <w:shd w:val="clear" w:color="auto" w:fill="auto"/>
            <w:noWrap/>
          </w:tcPr>
          <w:p w14:paraId="4AAE1613"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765" w:type="dxa"/>
            <w:tcBorders>
              <w:top w:val="nil"/>
              <w:left w:val="nil"/>
              <w:bottom w:val="nil"/>
              <w:right w:val="nil"/>
            </w:tcBorders>
            <w:shd w:val="clear" w:color="auto" w:fill="auto"/>
            <w:noWrap/>
          </w:tcPr>
          <w:p w14:paraId="1391B8B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r>
      <w:tr w:rsidR="001C51B9" w:rsidRPr="00D4376E" w14:paraId="40CAF323" w14:textId="77777777" w:rsidTr="005436B9">
        <w:trPr>
          <w:trHeight w:val="80"/>
        </w:trPr>
        <w:tc>
          <w:tcPr>
            <w:tcW w:w="2448" w:type="dxa"/>
            <w:tcBorders>
              <w:top w:val="nil"/>
              <w:left w:val="nil"/>
              <w:bottom w:val="nil"/>
              <w:right w:val="nil"/>
            </w:tcBorders>
            <w:shd w:val="clear" w:color="auto" w:fill="auto"/>
            <w:noWrap/>
            <w:vAlign w:val="bottom"/>
            <w:hideMark/>
          </w:tcPr>
          <w:p w14:paraId="7F9E7076"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Industry FE</w:t>
            </w:r>
          </w:p>
        </w:tc>
        <w:tc>
          <w:tcPr>
            <w:tcW w:w="1821" w:type="dxa"/>
            <w:tcBorders>
              <w:top w:val="nil"/>
              <w:left w:val="nil"/>
              <w:bottom w:val="nil"/>
              <w:right w:val="nil"/>
            </w:tcBorders>
            <w:shd w:val="clear" w:color="auto" w:fill="auto"/>
            <w:noWrap/>
            <w:vAlign w:val="bottom"/>
            <w:hideMark/>
          </w:tcPr>
          <w:p w14:paraId="7C4D54CD"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421" w:type="dxa"/>
            <w:tcBorders>
              <w:top w:val="nil"/>
              <w:left w:val="nil"/>
              <w:bottom w:val="nil"/>
              <w:right w:val="nil"/>
            </w:tcBorders>
            <w:shd w:val="clear" w:color="auto" w:fill="auto"/>
            <w:noWrap/>
            <w:vAlign w:val="bottom"/>
            <w:hideMark/>
          </w:tcPr>
          <w:p w14:paraId="3DBB3914"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571" w:type="dxa"/>
            <w:tcBorders>
              <w:top w:val="nil"/>
              <w:left w:val="nil"/>
              <w:bottom w:val="nil"/>
              <w:right w:val="nil"/>
            </w:tcBorders>
            <w:shd w:val="clear" w:color="auto" w:fill="auto"/>
            <w:noWrap/>
            <w:vAlign w:val="bottom"/>
            <w:hideMark/>
          </w:tcPr>
          <w:p w14:paraId="528990CD"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765" w:type="dxa"/>
            <w:tcBorders>
              <w:top w:val="nil"/>
              <w:left w:val="nil"/>
              <w:bottom w:val="nil"/>
              <w:right w:val="nil"/>
            </w:tcBorders>
            <w:shd w:val="clear" w:color="auto" w:fill="auto"/>
            <w:noWrap/>
            <w:vAlign w:val="bottom"/>
            <w:hideMark/>
          </w:tcPr>
          <w:p w14:paraId="0284EED4"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r>
      <w:tr w:rsidR="001C51B9" w:rsidRPr="00D4376E" w14:paraId="72C98268" w14:textId="77777777" w:rsidTr="005436B9">
        <w:trPr>
          <w:trHeight w:val="80"/>
        </w:trPr>
        <w:tc>
          <w:tcPr>
            <w:tcW w:w="2448" w:type="dxa"/>
            <w:tcBorders>
              <w:top w:val="nil"/>
              <w:left w:val="nil"/>
              <w:bottom w:val="nil"/>
              <w:right w:val="nil"/>
            </w:tcBorders>
            <w:shd w:val="clear" w:color="auto" w:fill="auto"/>
            <w:noWrap/>
            <w:vAlign w:val="bottom"/>
            <w:hideMark/>
          </w:tcPr>
          <w:p w14:paraId="44DE616E"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Year FE</w:t>
            </w:r>
          </w:p>
        </w:tc>
        <w:tc>
          <w:tcPr>
            <w:tcW w:w="1821" w:type="dxa"/>
            <w:tcBorders>
              <w:top w:val="nil"/>
              <w:left w:val="nil"/>
              <w:bottom w:val="nil"/>
              <w:right w:val="nil"/>
            </w:tcBorders>
            <w:shd w:val="clear" w:color="auto" w:fill="auto"/>
            <w:noWrap/>
            <w:vAlign w:val="bottom"/>
            <w:hideMark/>
          </w:tcPr>
          <w:p w14:paraId="224C9008"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421" w:type="dxa"/>
            <w:tcBorders>
              <w:top w:val="nil"/>
              <w:left w:val="nil"/>
              <w:bottom w:val="nil"/>
              <w:right w:val="nil"/>
            </w:tcBorders>
            <w:shd w:val="clear" w:color="auto" w:fill="auto"/>
            <w:noWrap/>
            <w:vAlign w:val="bottom"/>
            <w:hideMark/>
          </w:tcPr>
          <w:p w14:paraId="6E3E38ED"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571" w:type="dxa"/>
            <w:tcBorders>
              <w:top w:val="nil"/>
              <w:left w:val="nil"/>
              <w:bottom w:val="nil"/>
              <w:right w:val="nil"/>
            </w:tcBorders>
            <w:shd w:val="clear" w:color="auto" w:fill="auto"/>
            <w:noWrap/>
            <w:vAlign w:val="bottom"/>
            <w:hideMark/>
          </w:tcPr>
          <w:p w14:paraId="641ADAE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c>
          <w:tcPr>
            <w:tcW w:w="1765" w:type="dxa"/>
            <w:tcBorders>
              <w:top w:val="nil"/>
              <w:left w:val="nil"/>
              <w:bottom w:val="nil"/>
              <w:right w:val="nil"/>
            </w:tcBorders>
            <w:shd w:val="clear" w:color="auto" w:fill="auto"/>
            <w:noWrap/>
            <w:vAlign w:val="bottom"/>
            <w:hideMark/>
          </w:tcPr>
          <w:p w14:paraId="754BAA1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Yes</w:t>
            </w:r>
          </w:p>
        </w:tc>
      </w:tr>
      <w:tr w:rsidR="001C51B9" w:rsidRPr="00D4376E" w14:paraId="3F1D97E0" w14:textId="77777777" w:rsidTr="005436B9">
        <w:trPr>
          <w:trHeight w:val="80"/>
        </w:trPr>
        <w:tc>
          <w:tcPr>
            <w:tcW w:w="2448" w:type="dxa"/>
            <w:tcBorders>
              <w:top w:val="nil"/>
              <w:left w:val="nil"/>
              <w:bottom w:val="nil"/>
              <w:right w:val="nil"/>
            </w:tcBorders>
            <w:shd w:val="clear" w:color="auto" w:fill="auto"/>
            <w:noWrap/>
            <w:vAlign w:val="bottom"/>
            <w:hideMark/>
          </w:tcPr>
          <w:p w14:paraId="379CBD67"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Observations</w:t>
            </w:r>
          </w:p>
        </w:tc>
        <w:tc>
          <w:tcPr>
            <w:tcW w:w="1821" w:type="dxa"/>
            <w:tcBorders>
              <w:top w:val="nil"/>
              <w:left w:val="nil"/>
              <w:right w:val="nil"/>
            </w:tcBorders>
            <w:shd w:val="clear" w:color="auto" w:fill="auto"/>
            <w:noWrap/>
            <w:vAlign w:val="bottom"/>
            <w:hideMark/>
          </w:tcPr>
          <w:p w14:paraId="131AE85F"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color w:val="000000"/>
                <w:sz w:val="20"/>
                <w:szCs w:val="20"/>
                <w:lang w:eastAsia="en-NZ"/>
              </w:rPr>
              <w:t>11,346</w:t>
            </w:r>
          </w:p>
        </w:tc>
        <w:tc>
          <w:tcPr>
            <w:tcW w:w="1421" w:type="dxa"/>
            <w:tcBorders>
              <w:top w:val="nil"/>
              <w:left w:val="nil"/>
              <w:right w:val="nil"/>
            </w:tcBorders>
            <w:shd w:val="clear" w:color="auto" w:fill="auto"/>
            <w:noWrap/>
            <w:vAlign w:val="bottom"/>
            <w:hideMark/>
          </w:tcPr>
          <w:p w14:paraId="0A5130B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color w:val="000000"/>
                <w:sz w:val="20"/>
                <w:szCs w:val="20"/>
                <w:lang w:eastAsia="en-NZ"/>
              </w:rPr>
              <w:t>11,346</w:t>
            </w:r>
          </w:p>
        </w:tc>
        <w:tc>
          <w:tcPr>
            <w:tcW w:w="1571" w:type="dxa"/>
            <w:tcBorders>
              <w:top w:val="nil"/>
              <w:left w:val="nil"/>
              <w:right w:val="nil"/>
            </w:tcBorders>
            <w:shd w:val="clear" w:color="auto" w:fill="auto"/>
            <w:noWrap/>
            <w:vAlign w:val="bottom"/>
            <w:hideMark/>
          </w:tcPr>
          <w:p w14:paraId="67C6E32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color w:val="000000"/>
                <w:sz w:val="20"/>
                <w:szCs w:val="20"/>
                <w:lang w:eastAsia="en-NZ"/>
              </w:rPr>
              <w:t>11,346</w:t>
            </w:r>
          </w:p>
        </w:tc>
        <w:tc>
          <w:tcPr>
            <w:tcW w:w="1765" w:type="dxa"/>
            <w:tcBorders>
              <w:top w:val="nil"/>
              <w:left w:val="nil"/>
              <w:right w:val="nil"/>
            </w:tcBorders>
            <w:shd w:val="clear" w:color="auto" w:fill="auto"/>
            <w:noWrap/>
            <w:vAlign w:val="bottom"/>
            <w:hideMark/>
          </w:tcPr>
          <w:p w14:paraId="54042C2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D4376E">
              <w:rPr>
                <w:rFonts w:ascii="Times New Roman" w:eastAsia="Times New Roman" w:hAnsi="Times New Roman" w:cs="Times New Roman"/>
                <w:color w:val="000000"/>
                <w:sz w:val="20"/>
                <w:szCs w:val="20"/>
                <w:lang w:eastAsia="en-NZ"/>
              </w:rPr>
              <w:t>11,346</w:t>
            </w:r>
          </w:p>
        </w:tc>
      </w:tr>
      <w:tr w:rsidR="001C51B9" w:rsidRPr="00D4376E" w14:paraId="06EE2332" w14:textId="77777777" w:rsidTr="005436B9">
        <w:trPr>
          <w:trHeight w:val="80"/>
        </w:trPr>
        <w:tc>
          <w:tcPr>
            <w:tcW w:w="2448" w:type="dxa"/>
            <w:tcBorders>
              <w:top w:val="nil"/>
              <w:left w:val="nil"/>
              <w:bottom w:val="single" w:sz="4" w:space="0" w:color="000000"/>
              <w:right w:val="nil"/>
            </w:tcBorders>
            <w:shd w:val="clear" w:color="auto" w:fill="auto"/>
            <w:noWrap/>
            <w:vAlign w:val="bottom"/>
            <w:hideMark/>
          </w:tcPr>
          <w:p w14:paraId="6D583474" w14:textId="77777777" w:rsidR="001C51B9" w:rsidRPr="00D4376E" w:rsidRDefault="001C51B9" w:rsidP="005436B9">
            <w:pPr>
              <w:spacing w:after="0" w:line="240" w:lineRule="auto"/>
              <w:rPr>
                <w:rFonts w:ascii="Times New Roman" w:eastAsia="Times New Roman" w:hAnsi="Times New Roman" w:cs="Times New Roman"/>
                <w:sz w:val="20"/>
                <w:szCs w:val="20"/>
                <w:lang w:eastAsia="en-NZ"/>
              </w:rPr>
            </w:pPr>
            <w:r w:rsidRPr="00D4376E">
              <w:rPr>
                <w:rFonts w:ascii="Times New Roman" w:eastAsia="Times New Roman" w:hAnsi="Times New Roman" w:cs="Times New Roman"/>
                <w:sz w:val="20"/>
                <w:szCs w:val="20"/>
                <w:lang w:eastAsia="en-NZ"/>
              </w:rPr>
              <w:t>Adj. R</w:t>
            </w:r>
            <w:r w:rsidRPr="00D4376E">
              <w:rPr>
                <w:rFonts w:ascii="Times New Roman" w:eastAsia="Times New Roman" w:hAnsi="Times New Roman" w:cs="Times New Roman"/>
                <w:sz w:val="20"/>
                <w:szCs w:val="20"/>
                <w:vertAlign w:val="superscript"/>
                <w:lang w:eastAsia="en-NZ"/>
              </w:rPr>
              <w:t>2</w:t>
            </w:r>
          </w:p>
        </w:tc>
        <w:tc>
          <w:tcPr>
            <w:tcW w:w="1821" w:type="dxa"/>
            <w:tcBorders>
              <w:top w:val="nil"/>
              <w:left w:val="nil"/>
              <w:bottom w:val="single" w:sz="4" w:space="0" w:color="auto"/>
              <w:right w:val="nil"/>
            </w:tcBorders>
            <w:shd w:val="clear" w:color="auto" w:fill="auto"/>
            <w:noWrap/>
            <w:vAlign w:val="bottom"/>
            <w:hideMark/>
          </w:tcPr>
          <w:p w14:paraId="6BE13C4D"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0.2798</w:t>
            </w:r>
          </w:p>
        </w:tc>
        <w:tc>
          <w:tcPr>
            <w:tcW w:w="1421" w:type="dxa"/>
            <w:tcBorders>
              <w:top w:val="nil"/>
              <w:left w:val="nil"/>
              <w:bottom w:val="single" w:sz="4" w:space="0" w:color="auto"/>
              <w:right w:val="nil"/>
            </w:tcBorders>
            <w:shd w:val="clear" w:color="auto" w:fill="auto"/>
            <w:noWrap/>
            <w:vAlign w:val="bottom"/>
            <w:hideMark/>
          </w:tcPr>
          <w:p w14:paraId="3AD3410C"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0.2648</w:t>
            </w:r>
          </w:p>
        </w:tc>
        <w:tc>
          <w:tcPr>
            <w:tcW w:w="1571" w:type="dxa"/>
            <w:tcBorders>
              <w:top w:val="nil"/>
              <w:left w:val="nil"/>
              <w:bottom w:val="single" w:sz="4" w:space="0" w:color="auto"/>
              <w:right w:val="nil"/>
            </w:tcBorders>
            <w:shd w:val="clear" w:color="auto" w:fill="auto"/>
            <w:noWrap/>
            <w:vAlign w:val="bottom"/>
            <w:hideMark/>
          </w:tcPr>
          <w:p w14:paraId="55733290"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0.2803</w:t>
            </w:r>
          </w:p>
        </w:tc>
        <w:tc>
          <w:tcPr>
            <w:tcW w:w="1765" w:type="dxa"/>
            <w:tcBorders>
              <w:top w:val="nil"/>
              <w:left w:val="nil"/>
              <w:bottom w:val="single" w:sz="4" w:space="0" w:color="auto"/>
              <w:right w:val="nil"/>
            </w:tcBorders>
            <w:shd w:val="clear" w:color="auto" w:fill="auto"/>
            <w:noWrap/>
            <w:vAlign w:val="bottom"/>
            <w:hideMark/>
          </w:tcPr>
          <w:p w14:paraId="3F67A9E9" w14:textId="77777777" w:rsidR="001C51B9" w:rsidRPr="00D4376E" w:rsidRDefault="001C51B9" w:rsidP="005436B9">
            <w:pPr>
              <w:spacing w:after="0" w:line="240" w:lineRule="auto"/>
              <w:jc w:val="center"/>
              <w:rPr>
                <w:rFonts w:ascii="Times New Roman" w:eastAsia="Times New Roman" w:hAnsi="Times New Roman" w:cs="Times New Roman"/>
                <w:sz w:val="20"/>
                <w:szCs w:val="20"/>
                <w:lang w:eastAsia="en-NZ"/>
              </w:rPr>
            </w:pPr>
            <w:r w:rsidRPr="005436B9">
              <w:rPr>
                <w:rFonts w:ascii="Times New Roman" w:hAnsi="Times New Roman" w:cs="Times New Roman"/>
                <w:color w:val="000000"/>
                <w:sz w:val="20"/>
                <w:szCs w:val="20"/>
              </w:rPr>
              <w:t>0.2650</w:t>
            </w:r>
          </w:p>
        </w:tc>
      </w:tr>
    </w:tbl>
    <w:p w14:paraId="1ED9AF68" w14:textId="372565F1" w:rsidR="00AE3316" w:rsidRDefault="001C51B9" w:rsidP="001C51B9">
      <w:pPr>
        <w:spacing w:after="0" w:line="240" w:lineRule="auto"/>
        <w:jc w:val="both"/>
        <w:rPr>
          <w:rFonts w:ascii="Times New Roman" w:hAnsi="Times New Roman" w:cs="Times New Roman"/>
          <w:sz w:val="20"/>
          <w:szCs w:val="20"/>
        </w:rPr>
        <w:sectPr w:rsidR="00AE3316" w:rsidSect="003E283B">
          <w:pgSz w:w="11906" w:h="16838"/>
          <w:pgMar w:top="1440" w:right="1440" w:bottom="1440" w:left="1440" w:header="708" w:footer="708" w:gutter="0"/>
          <w:cols w:space="708"/>
          <w:docGrid w:linePitch="360"/>
        </w:sectPr>
      </w:pPr>
      <w:r>
        <w:rPr>
          <w:rFonts w:ascii="Times New Roman" w:hAnsi="Times New Roman" w:cs="Times New Roman"/>
          <w:sz w:val="20"/>
          <w:szCs w:val="20"/>
        </w:rPr>
        <w:t>Note: This table reports results for earnings management, legal regime, and post-SEO performance after dropping Austria, Belgium, Greece, Ireland, Netherland</w:t>
      </w:r>
      <w:r w:rsidR="009A758F">
        <w:rPr>
          <w:rFonts w:ascii="Times New Roman" w:hAnsi="Times New Roman" w:cs="Times New Roman"/>
          <w:sz w:val="20"/>
          <w:szCs w:val="20"/>
        </w:rPr>
        <w:t>s</w:t>
      </w:r>
      <w:r>
        <w:rPr>
          <w:rFonts w:ascii="Times New Roman" w:hAnsi="Times New Roman" w:cs="Times New Roman"/>
          <w:sz w:val="20"/>
          <w:szCs w:val="20"/>
        </w:rPr>
        <w:t xml:space="preserve">, and Portugal. Columns (1) and (2) [(3) and (4)] present results of estimation of Equations (1) and (2) [(3) and (4)], respectively. </w:t>
      </w:r>
      <w:r w:rsidRPr="00AD688D">
        <w:rPr>
          <w:rFonts w:ascii="Times New Roman" w:hAnsi="Times New Roman" w:cs="Times New Roman"/>
          <w:sz w:val="20"/>
          <w:szCs w:val="20"/>
        </w:rPr>
        <w:t xml:space="preserve">Robust </w:t>
      </w:r>
      <w:r w:rsidRPr="001578CB">
        <w:rPr>
          <w:rFonts w:ascii="Times New Roman" w:hAnsi="Times New Roman" w:cs="Times New Roman"/>
          <w:i/>
          <w:iCs/>
          <w:sz w:val="20"/>
          <w:szCs w:val="20"/>
        </w:rPr>
        <w:t>t</w:t>
      </w:r>
      <w:r>
        <w:rPr>
          <w:rFonts w:ascii="Times New Roman" w:hAnsi="Times New Roman" w:cs="Times New Roman"/>
          <w:sz w:val="20"/>
          <w:szCs w:val="20"/>
        </w:rPr>
        <w:t>-statistics</w:t>
      </w:r>
      <w:r w:rsidRPr="00AD688D">
        <w:rPr>
          <w:rFonts w:ascii="Times New Roman" w:hAnsi="Times New Roman" w:cs="Times New Roman"/>
          <w:sz w:val="20"/>
          <w:szCs w:val="20"/>
        </w:rPr>
        <w:t xml:space="preserve"> are in parenthesis. ***, **, * indicate significance at the 1%, 5% and 10% levels, respectively</w:t>
      </w:r>
      <w:r>
        <w:rPr>
          <w:rFonts w:ascii="Times New Roman" w:hAnsi="Times New Roman" w:cs="Times New Roman"/>
          <w:sz w:val="20"/>
          <w:szCs w:val="20"/>
        </w:rPr>
        <w:t xml:space="preserve">. </w:t>
      </w:r>
      <w:r w:rsidRPr="00866D4A">
        <w:rPr>
          <w:rFonts w:ascii="Times New Roman" w:hAnsi="Times New Roman" w:cs="Times New Roman"/>
          <w:sz w:val="20"/>
          <w:szCs w:val="20"/>
        </w:rPr>
        <w:t xml:space="preserve">All variables are defined </w:t>
      </w:r>
      <w:r>
        <w:rPr>
          <w:rFonts w:ascii="Times New Roman" w:hAnsi="Times New Roman" w:cs="Times New Roman"/>
          <w:sz w:val="20"/>
          <w:szCs w:val="20"/>
        </w:rPr>
        <w:t>in Appendix.</w:t>
      </w:r>
    </w:p>
    <w:tbl>
      <w:tblPr>
        <w:tblW w:w="13973" w:type="dxa"/>
        <w:tblLook w:val="04A0" w:firstRow="1" w:lastRow="0" w:firstColumn="1" w:lastColumn="0" w:noHBand="0" w:noVBand="1"/>
      </w:tblPr>
      <w:tblGrid>
        <w:gridCol w:w="4037"/>
        <w:gridCol w:w="1393"/>
        <w:gridCol w:w="1867"/>
        <w:gridCol w:w="1396"/>
        <w:gridCol w:w="1619"/>
        <w:gridCol w:w="1737"/>
        <w:gridCol w:w="1924"/>
      </w:tblGrid>
      <w:tr w:rsidR="00C157E2" w:rsidRPr="00896F46" w14:paraId="372E15B8" w14:textId="77777777" w:rsidTr="001578CB">
        <w:trPr>
          <w:trHeight w:val="113"/>
        </w:trPr>
        <w:tc>
          <w:tcPr>
            <w:tcW w:w="13973" w:type="dxa"/>
            <w:gridSpan w:val="7"/>
            <w:tcBorders>
              <w:left w:val="nil"/>
              <w:bottom w:val="single" w:sz="4" w:space="0" w:color="auto"/>
              <w:right w:val="nil"/>
            </w:tcBorders>
          </w:tcPr>
          <w:p w14:paraId="520F7CA8" w14:textId="5F705665" w:rsidR="00C157E2" w:rsidRPr="00896F46" w:rsidRDefault="0042717E" w:rsidP="001578CB">
            <w:pPr>
              <w:spacing w:after="0" w:line="240" w:lineRule="auto"/>
              <w:rPr>
                <w:rFonts w:ascii="Times New Roman" w:eastAsia="Times New Roman" w:hAnsi="Times New Roman" w:cs="Times New Roman"/>
                <w:sz w:val="20"/>
                <w:szCs w:val="20"/>
                <w:lang w:eastAsia="en-NZ"/>
              </w:rPr>
            </w:pPr>
            <w:r w:rsidRPr="002A6AF0">
              <w:rPr>
                <w:rFonts w:ascii="Times New Roman" w:eastAsia="Times New Roman" w:hAnsi="Times New Roman" w:cs="Times New Roman"/>
                <w:color w:val="000000"/>
                <w:sz w:val="20"/>
                <w:szCs w:val="20"/>
                <w:lang w:eastAsia="en-NZ"/>
              </w:rPr>
              <w:lastRenderedPageBreak/>
              <w:t xml:space="preserve">TABLE </w:t>
            </w:r>
            <w:r w:rsidR="009228B2">
              <w:rPr>
                <w:rFonts w:ascii="Times New Roman" w:eastAsia="Times New Roman" w:hAnsi="Times New Roman" w:cs="Times New Roman"/>
                <w:color w:val="000000"/>
                <w:sz w:val="20"/>
                <w:szCs w:val="20"/>
                <w:lang w:eastAsia="en-NZ"/>
              </w:rPr>
              <w:t>1</w:t>
            </w:r>
            <w:r w:rsidR="00776E4E">
              <w:rPr>
                <w:rFonts w:ascii="Times New Roman" w:eastAsia="Times New Roman" w:hAnsi="Times New Roman" w:cs="Times New Roman"/>
                <w:color w:val="000000"/>
                <w:sz w:val="20"/>
                <w:szCs w:val="20"/>
                <w:lang w:eastAsia="en-NZ"/>
              </w:rPr>
              <w:t>2</w:t>
            </w:r>
            <w:r w:rsidRPr="002A6AF0">
              <w:rPr>
                <w:rFonts w:ascii="Times New Roman" w:eastAsia="Times New Roman" w:hAnsi="Times New Roman" w:cs="Times New Roman"/>
                <w:color w:val="000000"/>
                <w:sz w:val="20"/>
                <w:szCs w:val="20"/>
                <w:lang w:eastAsia="en-NZ"/>
              </w:rPr>
              <w:t>:</w:t>
            </w:r>
            <w:r>
              <w:rPr>
                <w:rFonts w:ascii="Times New Roman" w:eastAsia="Times New Roman" w:hAnsi="Times New Roman" w:cs="Times New Roman"/>
                <w:color w:val="000000"/>
                <w:sz w:val="20"/>
                <w:szCs w:val="20"/>
                <w:lang w:eastAsia="en-NZ"/>
              </w:rPr>
              <w:t xml:space="preserve"> </w:t>
            </w:r>
            <w:r w:rsidR="00C157E2" w:rsidRPr="00896F46">
              <w:rPr>
                <w:rFonts w:ascii="Times New Roman" w:eastAsia="Times New Roman" w:hAnsi="Times New Roman" w:cs="Times New Roman"/>
                <w:sz w:val="20"/>
                <w:szCs w:val="20"/>
                <w:lang w:eastAsia="en-NZ"/>
              </w:rPr>
              <w:t>Endogeneity tests</w:t>
            </w:r>
          </w:p>
        </w:tc>
      </w:tr>
      <w:tr w:rsidR="006B0101" w:rsidRPr="00896F46" w14:paraId="7F490143" w14:textId="77777777" w:rsidTr="001578CB">
        <w:trPr>
          <w:trHeight w:val="141"/>
        </w:trPr>
        <w:tc>
          <w:tcPr>
            <w:tcW w:w="4037" w:type="dxa"/>
            <w:tcBorders>
              <w:top w:val="single" w:sz="4" w:space="0" w:color="auto"/>
              <w:left w:val="nil"/>
              <w:right w:val="nil"/>
            </w:tcBorders>
            <w:shd w:val="clear" w:color="auto" w:fill="auto"/>
            <w:noWrap/>
            <w:vAlign w:val="bottom"/>
          </w:tcPr>
          <w:p w14:paraId="7E0401C4" w14:textId="77777777" w:rsidR="00C157E2" w:rsidRPr="00896F46" w:rsidRDefault="00C157E2" w:rsidP="000D5A47">
            <w:pPr>
              <w:spacing w:after="0" w:line="240" w:lineRule="auto"/>
              <w:rPr>
                <w:rFonts w:ascii="Times New Roman" w:eastAsia="Times New Roman" w:hAnsi="Times New Roman" w:cs="Times New Roman"/>
                <w:sz w:val="20"/>
                <w:szCs w:val="20"/>
                <w:lang w:eastAsia="en-NZ"/>
              </w:rPr>
            </w:pPr>
          </w:p>
        </w:tc>
        <w:tc>
          <w:tcPr>
            <w:tcW w:w="1393" w:type="dxa"/>
            <w:tcBorders>
              <w:left w:val="nil"/>
              <w:bottom w:val="single" w:sz="4" w:space="0" w:color="auto"/>
              <w:right w:val="nil"/>
            </w:tcBorders>
            <w:shd w:val="clear" w:color="auto" w:fill="auto"/>
            <w:noWrap/>
            <w:vAlign w:val="bottom"/>
          </w:tcPr>
          <w:p w14:paraId="7AC4B8CE"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(1)</w:t>
            </w:r>
          </w:p>
        </w:tc>
        <w:tc>
          <w:tcPr>
            <w:tcW w:w="1867" w:type="dxa"/>
            <w:tcBorders>
              <w:left w:val="nil"/>
              <w:bottom w:val="single" w:sz="4" w:space="0" w:color="auto"/>
              <w:right w:val="nil"/>
            </w:tcBorders>
            <w:shd w:val="clear" w:color="auto" w:fill="auto"/>
            <w:vAlign w:val="bottom"/>
          </w:tcPr>
          <w:p w14:paraId="67F2B9BC"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(2)</w:t>
            </w:r>
          </w:p>
        </w:tc>
        <w:tc>
          <w:tcPr>
            <w:tcW w:w="1396" w:type="dxa"/>
            <w:tcBorders>
              <w:left w:val="nil"/>
              <w:bottom w:val="single" w:sz="4" w:space="0" w:color="auto"/>
              <w:right w:val="nil"/>
            </w:tcBorders>
          </w:tcPr>
          <w:p w14:paraId="65CC47B9"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(3)</w:t>
            </w:r>
          </w:p>
        </w:tc>
        <w:tc>
          <w:tcPr>
            <w:tcW w:w="1619" w:type="dxa"/>
            <w:tcBorders>
              <w:left w:val="nil"/>
              <w:bottom w:val="single" w:sz="4" w:space="0" w:color="auto"/>
              <w:right w:val="single" w:sz="4" w:space="0" w:color="auto"/>
            </w:tcBorders>
            <w:shd w:val="clear" w:color="auto" w:fill="auto"/>
            <w:noWrap/>
            <w:vAlign w:val="bottom"/>
          </w:tcPr>
          <w:p w14:paraId="68E869A8"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(4)</w:t>
            </w:r>
          </w:p>
        </w:tc>
        <w:tc>
          <w:tcPr>
            <w:tcW w:w="1737" w:type="dxa"/>
            <w:tcBorders>
              <w:left w:val="single" w:sz="4" w:space="0" w:color="auto"/>
              <w:bottom w:val="single" w:sz="4" w:space="0" w:color="auto"/>
              <w:right w:val="nil"/>
            </w:tcBorders>
          </w:tcPr>
          <w:p w14:paraId="372A4FFD"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(5)</w:t>
            </w:r>
          </w:p>
        </w:tc>
        <w:tc>
          <w:tcPr>
            <w:tcW w:w="1924" w:type="dxa"/>
            <w:tcBorders>
              <w:left w:val="nil"/>
              <w:bottom w:val="single" w:sz="4" w:space="0" w:color="auto"/>
              <w:right w:val="nil"/>
            </w:tcBorders>
          </w:tcPr>
          <w:p w14:paraId="6D4B5D59"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(6)</w:t>
            </w:r>
          </w:p>
        </w:tc>
      </w:tr>
      <w:tr w:rsidR="00027A48" w:rsidRPr="00896F46" w14:paraId="67E613F2" w14:textId="77777777" w:rsidTr="001578CB">
        <w:trPr>
          <w:trHeight w:val="141"/>
        </w:trPr>
        <w:tc>
          <w:tcPr>
            <w:tcW w:w="4037" w:type="dxa"/>
            <w:tcBorders>
              <w:left w:val="nil"/>
              <w:bottom w:val="nil"/>
              <w:right w:val="nil"/>
            </w:tcBorders>
            <w:shd w:val="clear" w:color="auto" w:fill="auto"/>
            <w:noWrap/>
            <w:vAlign w:val="bottom"/>
          </w:tcPr>
          <w:p w14:paraId="2EC250C4" w14:textId="77777777" w:rsidR="00027A48" w:rsidRPr="00896F46" w:rsidRDefault="00027A48" w:rsidP="000D5A47">
            <w:pPr>
              <w:spacing w:after="0" w:line="240" w:lineRule="auto"/>
              <w:rPr>
                <w:rFonts w:ascii="Times New Roman" w:eastAsia="Times New Roman" w:hAnsi="Times New Roman" w:cs="Times New Roman"/>
                <w:sz w:val="20"/>
                <w:szCs w:val="20"/>
                <w:lang w:eastAsia="en-NZ"/>
              </w:rPr>
            </w:pPr>
          </w:p>
        </w:tc>
        <w:tc>
          <w:tcPr>
            <w:tcW w:w="6275" w:type="dxa"/>
            <w:gridSpan w:val="4"/>
            <w:tcBorders>
              <w:top w:val="single" w:sz="4" w:space="0" w:color="auto"/>
              <w:left w:val="nil"/>
              <w:bottom w:val="single" w:sz="4" w:space="0" w:color="auto"/>
              <w:right w:val="single" w:sz="4" w:space="0" w:color="auto"/>
            </w:tcBorders>
            <w:shd w:val="clear" w:color="auto" w:fill="auto"/>
            <w:noWrap/>
            <w:vAlign w:val="bottom"/>
          </w:tcPr>
          <w:p w14:paraId="1703991F" w14:textId="634FAF92" w:rsidR="00027A48" w:rsidRPr="00896F46" w:rsidRDefault="00B50CDF"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2SLS</w:t>
            </w:r>
          </w:p>
        </w:tc>
        <w:tc>
          <w:tcPr>
            <w:tcW w:w="3661" w:type="dxa"/>
            <w:gridSpan w:val="2"/>
            <w:tcBorders>
              <w:top w:val="single" w:sz="4" w:space="0" w:color="auto"/>
              <w:left w:val="single" w:sz="4" w:space="0" w:color="auto"/>
              <w:bottom w:val="single" w:sz="4" w:space="0" w:color="auto"/>
              <w:right w:val="nil"/>
            </w:tcBorders>
          </w:tcPr>
          <w:p w14:paraId="001605B8" w14:textId="65B22623" w:rsidR="00027A48" w:rsidRPr="00896F46" w:rsidRDefault="00027A48"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Stepwise regr</w:t>
            </w:r>
            <w:r w:rsidR="000F38AB">
              <w:rPr>
                <w:rFonts w:ascii="Times New Roman" w:eastAsia="Times New Roman" w:hAnsi="Times New Roman" w:cs="Times New Roman"/>
                <w:sz w:val="20"/>
                <w:szCs w:val="20"/>
                <w:lang w:eastAsia="en-NZ"/>
              </w:rPr>
              <w:t>e</w:t>
            </w:r>
            <w:r w:rsidRPr="00896F46">
              <w:rPr>
                <w:rFonts w:ascii="Times New Roman" w:eastAsia="Times New Roman" w:hAnsi="Times New Roman" w:cs="Times New Roman"/>
                <w:sz w:val="20"/>
                <w:szCs w:val="20"/>
                <w:lang w:eastAsia="en-NZ"/>
              </w:rPr>
              <w:t>ssion</w:t>
            </w:r>
          </w:p>
        </w:tc>
      </w:tr>
      <w:tr w:rsidR="001578CB" w:rsidRPr="00896F46" w14:paraId="217B8DA9" w14:textId="77777777" w:rsidTr="001578CB">
        <w:trPr>
          <w:trHeight w:val="113"/>
        </w:trPr>
        <w:tc>
          <w:tcPr>
            <w:tcW w:w="4037" w:type="dxa"/>
            <w:tcBorders>
              <w:left w:val="nil"/>
              <w:bottom w:val="single" w:sz="4" w:space="0" w:color="auto"/>
              <w:right w:val="nil"/>
            </w:tcBorders>
            <w:shd w:val="clear" w:color="auto" w:fill="auto"/>
            <w:noWrap/>
            <w:vAlign w:val="bottom"/>
            <w:hideMark/>
          </w:tcPr>
          <w:p w14:paraId="00981C49" w14:textId="77777777" w:rsidR="00C157E2" w:rsidRPr="00896F46" w:rsidRDefault="00C157E2" w:rsidP="000D5A47">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Variables</w:t>
            </w:r>
          </w:p>
        </w:tc>
        <w:tc>
          <w:tcPr>
            <w:tcW w:w="1393" w:type="dxa"/>
            <w:tcBorders>
              <w:top w:val="single" w:sz="4" w:space="0" w:color="auto"/>
              <w:left w:val="nil"/>
              <w:bottom w:val="single" w:sz="4" w:space="0" w:color="auto"/>
              <w:right w:val="nil"/>
            </w:tcBorders>
            <w:shd w:val="clear" w:color="auto" w:fill="auto"/>
            <w:noWrap/>
            <w:vAlign w:val="bottom"/>
            <w:hideMark/>
          </w:tcPr>
          <w:p w14:paraId="6681D6D0" w14:textId="55663C34"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AEM</w:t>
            </w:r>
          </w:p>
        </w:tc>
        <w:tc>
          <w:tcPr>
            <w:tcW w:w="1867" w:type="dxa"/>
            <w:tcBorders>
              <w:top w:val="single" w:sz="4" w:space="0" w:color="auto"/>
              <w:left w:val="nil"/>
              <w:bottom w:val="single" w:sz="4" w:space="0" w:color="auto"/>
              <w:right w:val="nil"/>
            </w:tcBorders>
            <w:shd w:val="clear" w:color="auto" w:fill="auto"/>
            <w:noWrap/>
            <w:vAlign w:val="bottom"/>
            <w:hideMark/>
          </w:tcPr>
          <w:p w14:paraId="1E1ACF8B" w14:textId="1C70C696"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S</w:t>
            </w:r>
            <w:r w:rsidR="00143DD0" w:rsidRPr="00896F46">
              <w:rPr>
                <w:rFonts w:ascii="Times New Roman" w:eastAsia="Times New Roman" w:hAnsi="Times New Roman" w:cs="Times New Roman"/>
                <w:sz w:val="20"/>
                <w:szCs w:val="20"/>
                <w:lang w:eastAsia="en-NZ"/>
              </w:rPr>
              <w:t>EOP</w:t>
            </w:r>
          </w:p>
        </w:tc>
        <w:tc>
          <w:tcPr>
            <w:tcW w:w="1396" w:type="dxa"/>
            <w:tcBorders>
              <w:top w:val="single" w:sz="4" w:space="0" w:color="auto"/>
              <w:left w:val="nil"/>
              <w:bottom w:val="single" w:sz="4" w:space="0" w:color="auto"/>
              <w:right w:val="nil"/>
            </w:tcBorders>
            <w:vAlign w:val="bottom"/>
          </w:tcPr>
          <w:p w14:paraId="0598CE9B" w14:textId="5272013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RAM</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523AD23F" w14:textId="777A5952" w:rsidR="00C157E2" w:rsidRPr="00896F46" w:rsidRDefault="006B0101"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SEOP</w:t>
            </w:r>
          </w:p>
        </w:tc>
        <w:tc>
          <w:tcPr>
            <w:tcW w:w="1737" w:type="dxa"/>
            <w:tcBorders>
              <w:top w:val="single" w:sz="4" w:space="0" w:color="auto"/>
              <w:left w:val="single" w:sz="4" w:space="0" w:color="auto"/>
              <w:bottom w:val="single" w:sz="4" w:space="0" w:color="auto"/>
              <w:right w:val="nil"/>
            </w:tcBorders>
            <w:vAlign w:val="bottom"/>
          </w:tcPr>
          <w:p w14:paraId="35A08EBC" w14:textId="7E91FF0F"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AEM</w:t>
            </w:r>
            <w:r w:rsidR="00383375">
              <w:rPr>
                <w:rFonts w:ascii="Times New Roman" w:eastAsia="Times New Roman" w:hAnsi="Times New Roman" w:cs="Times New Roman"/>
                <w:sz w:val="20"/>
                <w:szCs w:val="20"/>
                <w:lang w:eastAsia="en-NZ"/>
              </w:rPr>
              <w:t>&amp;</w:t>
            </w:r>
            <w:r w:rsidRPr="00896F46">
              <w:rPr>
                <w:rFonts w:ascii="Times New Roman" w:eastAsia="Times New Roman" w:hAnsi="Times New Roman" w:cs="Times New Roman"/>
                <w:sz w:val="20"/>
                <w:szCs w:val="20"/>
                <w:lang w:eastAsia="en-NZ"/>
              </w:rPr>
              <w:t>RAM</w:t>
            </w:r>
          </w:p>
        </w:tc>
        <w:tc>
          <w:tcPr>
            <w:tcW w:w="1924" w:type="dxa"/>
            <w:tcBorders>
              <w:top w:val="single" w:sz="4" w:space="0" w:color="auto"/>
              <w:left w:val="nil"/>
              <w:bottom w:val="single" w:sz="4" w:space="0" w:color="auto"/>
              <w:right w:val="nil"/>
            </w:tcBorders>
            <w:vAlign w:val="bottom"/>
          </w:tcPr>
          <w:p w14:paraId="6B907F96" w14:textId="561F923D"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Sum (AEM</w:t>
            </w:r>
            <w:r w:rsidR="00383375">
              <w:rPr>
                <w:rFonts w:ascii="Times New Roman" w:eastAsia="Times New Roman" w:hAnsi="Times New Roman" w:cs="Times New Roman"/>
                <w:sz w:val="20"/>
                <w:szCs w:val="20"/>
                <w:lang w:eastAsia="en-NZ"/>
              </w:rPr>
              <w:t>&amp;</w:t>
            </w:r>
            <w:r w:rsidRPr="00896F46">
              <w:rPr>
                <w:rFonts w:ascii="Times New Roman" w:eastAsia="Times New Roman" w:hAnsi="Times New Roman" w:cs="Times New Roman"/>
                <w:sz w:val="20"/>
                <w:szCs w:val="20"/>
                <w:lang w:eastAsia="en-NZ"/>
              </w:rPr>
              <w:t>RAM)</w:t>
            </w:r>
          </w:p>
        </w:tc>
      </w:tr>
      <w:tr w:rsidR="001578CB" w:rsidRPr="00896F46" w14:paraId="06671F74" w14:textId="77777777" w:rsidTr="001578CB">
        <w:trPr>
          <w:trHeight w:val="98"/>
        </w:trPr>
        <w:tc>
          <w:tcPr>
            <w:tcW w:w="4037" w:type="dxa"/>
            <w:tcBorders>
              <w:top w:val="nil"/>
              <w:left w:val="nil"/>
              <w:bottom w:val="nil"/>
              <w:right w:val="nil"/>
            </w:tcBorders>
            <w:shd w:val="clear" w:color="auto" w:fill="auto"/>
            <w:noWrap/>
            <w:vAlign w:val="bottom"/>
            <w:hideMark/>
          </w:tcPr>
          <w:p w14:paraId="1BF66317" w14:textId="7B8CC937" w:rsidR="00D87B08" w:rsidRPr="00896F46" w:rsidRDefault="00D87B08" w:rsidP="00D87B08">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AEM_M</w:t>
            </w:r>
          </w:p>
        </w:tc>
        <w:tc>
          <w:tcPr>
            <w:tcW w:w="1393" w:type="dxa"/>
            <w:tcBorders>
              <w:top w:val="nil"/>
              <w:left w:val="nil"/>
              <w:bottom w:val="nil"/>
              <w:right w:val="nil"/>
            </w:tcBorders>
            <w:shd w:val="clear" w:color="auto" w:fill="auto"/>
            <w:noWrap/>
            <w:vAlign w:val="bottom"/>
          </w:tcPr>
          <w:p w14:paraId="564422E6" w14:textId="081879E0"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0.9386***</w:t>
            </w:r>
          </w:p>
        </w:tc>
        <w:tc>
          <w:tcPr>
            <w:tcW w:w="1867" w:type="dxa"/>
            <w:tcBorders>
              <w:top w:val="nil"/>
              <w:left w:val="nil"/>
              <w:bottom w:val="nil"/>
              <w:right w:val="nil"/>
            </w:tcBorders>
            <w:shd w:val="clear" w:color="auto" w:fill="auto"/>
            <w:noWrap/>
            <w:vAlign w:val="bottom"/>
          </w:tcPr>
          <w:p w14:paraId="0EFBBE94"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6ACAF241" w14:textId="7BDC6F98"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619" w:type="dxa"/>
            <w:tcBorders>
              <w:top w:val="nil"/>
              <w:left w:val="nil"/>
              <w:bottom w:val="nil"/>
              <w:right w:val="single" w:sz="4" w:space="0" w:color="auto"/>
            </w:tcBorders>
            <w:shd w:val="clear" w:color="auto" w:fill="auto"/>
            <w:noWrap/>
            <w:vAlign w:val="bottom"/>
          </w:tcPr>
          <w:p w14:paraId="06BC9430"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737" w:type="dxa"/>
            <w:tcBorders>
              <w:top w:val="nil"/>
              <w:left w:val="single" w:sz="4" w:space="0" w:color="auto"/>
              <w:bottom w:val="nil"/>
              <w:right w:val="nil"/>
            </w:tcBorders>
            <w:shd w:val="clear" w:color="auto" w:fill="auto"/>
            <w:vAlign w:val="bottom"/>
          </w:tcPr>
          <w:p w14:paraId="0B8DB08F" w14:textId="2F145471" w:rsidR="00D87B08" w:rsidRPr="00896F46" w:rsidRDefault="00D87B08" w:rsidP="00D87B08">
            <w:pPr>
              <w:spacing w:after="0" w:line="240" w:lineRule="auto"/>
              <w:jc w:val="center"/>
              <w:rPr>
                <w:rFonts w:ascii="Times New Roman" w:hAnsi="Times New Roman" w:cs="Times New Roman"/>
                <w:sz w:val="20"/>
                <w:szCs w:val="20"/>
              </w:rPr>
            </w:pPr>
          </w:p>
        </w:tc>
        <w:tc>
          <w:tcPr>
            <w:tcW w:w="1924" w:type="dxa"/>
            <w:tcBorders>
              <w:top w:val="nil"/>
              <w:left w:val="nil"/>
              <w:bottom w:val="nil"/>
              <w:right w:val="nil"/>
            </w:tcBorders>
            <w:shd w:val="clear" w:color="auto" w:fill="auto"/>
            <w:vAlign w:val="bottom"/>
          </w:tcPr>
          <w:p w14:paraId="55BB1D7D" w14:textId="77777777" w:rsidR="00D87B08" w:rsidRPr="00896F46" w:rsidRDefault="00D87B08" w:rsidP="00D87B08">
            <w:pPr>
              <w:spacing w:after="0" w:line="240" w:lineRule="auto"/>
              <w:jc w:val="center"/>
              <w:rPr>
                <w:rFonts w:ascii="Times New Roman" w:hAnsi="Times New Roman" w:cs="Times New Roman"/>
                <w:sz w:val="20"/>
                <w:szCs w:val="20"/>
              </w:rPr>
            </w:pPr>
          </w:p>
        </w:tc>
      </w:tr>
      <w:tr w:rsidR="001578CB" w:rsidRPr="00896F46" w14:paraId="40792771" w14:textId="77777777" w:rsidTr="001578CB">
        <w:trPr>
          <w:trHeight w:val="113"/>
        </w:trPr>
        <w:tc>
          <w:tcPr>
            <w:tcW w:w="4037" w:type="dxa"/>
            <w:tcBorders>
              <w:top w:val="nil"/>
              <w:left w:val="nil"/>
              <w:bottom w:val="nil"/>
              <w:right w:val="nil"/>
            </w:tcBorders>
            <w:shd w:val="clear" w:color="auto" w:fill="auto"/>
            <w:noWrap/>
            <w:vAlign w:val="bottom"/>
            <w:hideMark/>
          </w:tcPr>
          <w:p w14:paraId="3D2E4CDA"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34472B60" w14:textId="2E08464A"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(13.5367)</w:t>
            </w:r>
          </w:p>
        </w:tc>
        <w:tc>
          <w:tcPr>
            <w:tcW w:w="1867" w:type="dxa"/>
            <w:tcBorders>
              <w:top w:val="nil"/>
              <w:left w:val="nil"/>
              <w:bottom w:val="nil"/>
              <w:right w:val="nil"/>
            </w:tcBorders>
            <w:shd w:val="clear" w:color="auto" w:fill="auto"/>
            <w:noWrap/>
            <w:vAlign w:val="bottom"/>
          </w:tcPr>
          <w:p w14:paraId="2957D619"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29BD36DA" w14:textId="14F75B0F"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619" w:type="dxa"/>
            <w:tcBorders>
              <w:top w:val="nil"/>
              <w:left w:val="nil"/>
              <w:bottom w:val="nil"/>
              <w:right w:val="single" w:sz="4" w:space="0" w:color="auto"/>
            </w:tcBorders>
            <w:shd w:val="clear" w:color="auto" w:fill="auto"/>
            <w:noWrap/>
            <w:vAlign w:val="bottom"/>
          </w:tcPr>
          <w:p w14:paraId="5AEE24C2"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737" w:type="dxa"/>
            <w:tcBorders>
              <w:top w:val="nil"/>
              <w:left w:val="single" w:sz="4" w:space="0" w:color="auto"/>
              <w:bottom w:val="nil"/>
              <w:right w:val="nil"/>
            </w:tcBorders>
            <w:shd w:val="clear" w:color="auto" w:fill="auto"/>
            <w:vAlign w:val="bottom"/>
          </w:tcPr>
          <w:p w14:paraId="7D04FEF7" w14:textId="39F839B5" w:rsidR="00D87B08" w:rsidRPr="00896F46" w:rsidRDefault="00D87B08" w:rsidP="00D87B08">
            <w:pPr>
              <w:spacing w:after="0" w:line="240" w:lineRule="auto"/>
              <w:jc w:val="center"/>
              <w:rPr>
                <w:rFonts w:ascii="Times New Roman" w:hAnsi="Times New Roman" w:cs="Times New Roman"/>
                <w:sz w:val="20"/>
                <w:szCs w:val="20"/>
              </w:rPr>
            </w:pPr>
          </w:p>
        </w:tc>
        <w:tc>
          <w:tcPr>
            <w:tcW w:w="1924" w:type="dxa"/>
            <w:tcBorders>
              <w:top w:val="nil"/>
              <w:left w:val="nil"/>
              <w:bottom w:val="nil"/>
              <w:right w:val="nil"/>
            </w:tcBorders>
            <w:shd w:val="clear" w:color="auto" w:fill="auto"/>
            <w:vAlign w:val="bottom"/>
          </w:tcPr>
          <w:p w14:paraId="43B6376D" w14:textId="77777777" w:rsidR="00D87B08" w:rsidRPr="00896F46" w:rsidRDefault="00D87B08" w:rsidP="00D87B08">
            <w:pPr>
              <w:spacing w:after="0" w:line="240" w:lineRule="auto"/>
              <w:jc w:val="center"/>
              <w:rPr>
                <w:rFonts w:ascii="Times New Roman" w:hAnsi="Times New Roman" w:cs="Times New Roman"/>
                <w:sz w:val="20"/>
                <w:szCs w:val="20"/>
              </w:rPr>
            </w:pPr>
          </w:p>
        </w:tc>
      </w:tr>
      <w:tr w:rsidR="001578CB" w:rsidRPr="00896F46" w14:paraId="620A97D3" w14:textId="77777777" w:rsidTr="001578CB">
        <w:trPr>
          <w:trHeight w:val="113"/>
        </w:trPr>
        <w:tc>
          <w:tcPr>
            <w:tcW w:w="4037" w:type="dxa"/>
            <w:tcBorders>
              <w:top w:val="nil"/>
              <w:left w:val="nil"/>
              <w:bottom w:val="nil"/>
              <w:right w:val="nil"/>
            </w:tcBorders>
            <w:shd w:val="clear" w:color="auto" w:fill="auto"/>
            <w:noWrap/>
            <w:vAlign w:val="bottom"/>
            <w:hideMark/>
          </w:tcPr>
          <w:p w14:paraId="02EAE189" w14:textId="02638B8C" w:rsidR="00D87B08" w:rsidRPr="00896F46" w:rsidRDefault="00D87B08" w:rsidP="00D87B08">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RAM_M</w:t>
            </w:r>
          </w:p>
        </w:tc>
        <w:tc>
          <w:tcPr>
            <w:tcW w:w="1393" w:type="dxa"/>
            <w:tcBorders>
              <w:top w:val="nil"/>
              <w:left w:val="nil"/>
              <w:bottom w:val="nil"/>
              <w:right w:val="nil"/>
            </w:tcBorders>
            <w:shd w:val="clear" w:color="auto" w:fill="auto"/>
            <w:noWrap/>
            <w:vAlign w:val="bottom"/>
          </w:tcPr>
          <w:p w14:paraId="07DB0330" w14:textId="4E4854B3"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781607AD"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00317460" w14:textId="0E7D5C6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0.9325***</w:t>
            </w:r>
          </w:p>
        </w:tc>
        <w:tc>
          <w:tcPr>
            <w:tcW w:w="1619" w:type="dxa"/>
            <w:tcBorders>
              <w:top w:val="nil"/>
              <w:left w:val="nil"/>
              <w:bottom w:val="nil"/>
              <w:right w:val="single" w:sz="4" w:space="0" w:color="auto"/>
            </w:tcBorders>
            <w:shd w:val="clear" w:color="auto" w:fill="auto"/>
            <w:noWrap/>
            <w:vAlign w:val="bottom"/>
          </w:tcPr>
          <w:p w14:paraId="044A26E0"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737" w:type="dxa"/>
            <w:tcBorders>
              <w:top w:val="nil"/>
              <w:left w:val="single" w:sz="4" w:space="0" w:color="auto"/>
              <w:bottom w:val="nil"/>
              <w:right w:val="nil"/>
            </w:tcBorders>
            <w:shd w:val="clear" w:color="auto" w:fill="auto"/>
            <w:vAlign w:val="bottom"/>
          </w:tcPr>
          <w:p w14:paraId="2BC201FF" w14:textId="02CAB99D" w:rsidR="00D87B08" w:rsidRPr="00896F46" w:rsidRDefault="00D87B08" w:rsidP="00D87B08">
            <w:pPr>
              <w:spacing w:after="0" w:line="240" w:lineRule="auto"/>
              <w:jc w:val="center"/>
              <w:rPr>
                <w:rFonts w:ascii="Times New Roman" w:hAnsi="Times New Roman" w:cs="Times New Roman"/>
                <w:sz w:val="20"/>
                <w:szCs w:val="20"/>
              </w:rPr>
            </w:pPr>
          </w:p>
        </w:tc>
        <w:tc>
          <w:tcPr>
            <w:tcW w:w="1924" w:type="dxa"/>
            <w:tcBorders>
              <w:top w:val="nil"/>
              <w:left w:val="nil"/>
              <w:bottom w:val="nil"/>
              <w:right w:val="nil"/>
            </w:tcBorders>
            <w:shd w:val="clear" w:color="auto" w:fill="auto"/>
            <w:vAlign w:val="bottom"/>
          </w:tcPr>
          <w:p w14:paraId="4CD35256" w14:textId="77777777" w:rsidR="00D87B08" w:rsidRPr="00896F46" w:rsidRDefault="00D87B08" w:rsidP="00D87B08">
            <w:pPr>
              <w:spacing w:after="0" w:line="240" w:lineRule="auto"/>
              <w:jc w:val="center"/>
              <w:rPr>
                <w:rFonts w:ascii="Times New Roman" w:hAnsi="Times New Roman" w:cs="Times New Roman"/>
                <w:sz w:val="20"/>
                <w:szCs w:val="20"/>
              </w:rPr>
            </w:pPr>
          </w:p>
        </w:tc>
      </w:tr>
      <w:tr w:rsidR="001578CB" w:rsidRPr="00896F46" w14:paraId="2492E6E9" w14:textId="77777777" w:rsidTr="001578CB">
        <w:trPr>
          <w:trHeight w:val="113"/>
        </w:trPr>
        <w:tc>
          <w:tcPr>
            <w:tcW w:w="4037" w:type="dxa"/>
            <w:tcBorders>
              <w:top w:val="nil"/>
              <w:left w:val="nil"/>
              <w:bottom w:val="nil"/>
              <w:right w:val="nil"/>
            </w:tcBorders>
            <w:shd w:val="clear" w:color="auto" w:fill="auto"/>
            <w:noWrap/>
            <w:vAlign w:val="bottom"/>
            <w:hideMark/>
          </w:tcPr>
          <w:p w14:paraId="4B6F756F"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0DF8FFDD" w14:textId="62F67CF3"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247C8147"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577838EA" w14:textId="7A4E94E2"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(12.7897)</w:t>
            </w:r>
          </w:p>
        </w:tc>
        <w:tc>
          <w:tcPr>
            <w:tcW w:w="1619" w:type="dxa"/>
            <w:tcBorders>
              <w:top w:val="nil"/>
              <w:left w:val="nil"/>
              <w:bottom w:val="nil"/>
              <w:right w:val="single" w:sz="4" w:space="0" w:color="auto"/>
            </w:tcBorders>
            <w:shd w:val="clear" w:color="auto" w:fill="auto"/>
            <w:noWrap/>
            <w:vAlign w:val="bottom"/>
          </w:tcPr>
          <w:p w14:paraId="3A2C44B9"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737" w:type="dxa"/>
            <w:tcBorders>
              <w:top w:val="nil"/>
              <w:left w:val="single" w:sz="4" w:space="0" w:color="auto"/>
              <w:bottom w:val="nil"/>
              <w:right w:val="nil"/>
            </w:tcBorders>
            <w:shd w:val="clear" w:color="auto" w:fill="auto"/>
            <w:vAlign w:val="bottom"/>
          </w:tcPr>
          <w:p w14:paraId="4F552D45" w14:textId="363F5BE1" w:rsidR="00D87B08" w:rsidRPr="00896F46" w:rsidRDefault="00D87B08" w:rsidP="00D87B08">
            <w:pPr>
              <w:spacing w:after="0" w:line="240" w:lineRule="auto"/>
              <w:jc w:val="center"/>
              <w:rPr>
                <w:rFonts w:ascii="Times New Roman" w:hAnsi="Times New Roman" w:cs="Times New Roman"/>
                <w:sz w:val="20"/>
                <w:szCs w:val="20"/>
              </w:rPr>
            </w:pPr>
          </w:p>
        </w:tc>
        <w:tc>
          <w:tcPr>
            <w:tcW w:w="1924" w:type="dxa"/>
            <w:tcBorders>
              <w:top w:val="nil"/>
              <w:left w:val="nil"/>
              <w:bottom w:val="nil"/>
              <w:right w:val="nil"/>
            </w:tcBorders>
            <w:shd w:val="clear" w:color="auto" w:fill="auto"/>
            <w:vAlign w:val="bottom"/>
          </w:tcPr>
          <w:p w14:paraId="11B69586" w14:textId="77777777" w:rsidR="00D87B08" w:rsidRPr="00896F46" w:rsidRDefault="00D87B08" w:rsidP="00D87B08">
            <w:pPr>
              <w:spacing w:after="0" w:line="240" w:lineRule="auto"/>
              <w:jc w:val="center"/>
              <w:rPr>
                <w:rFonts w:ascii="Times New Roman" w:hAnsi="Times New Roman" w:cs="Times New Roman"/>
                <w:sz w:val="20"/>
                <w:szCs w:val="20"/>
              </w:rPr>
            </w:pPr>
          </w:p>
        </w:tc>
      </w:tr>
      <w:tr w:rsidR="001578CB" w:rsidRPr="00896F46" w14:paraId="727A88D8" w14:textId="77777777" w:rsidTr="001578CB">
        <w:trPr>
          <w:trHeight w:val="113"/>
        </w:trPr>
        <w:tc>
          <w:tcPr>
            <w:tcW w:w="4037" w:type="dxa"/>
            <w:tcBorders>
              <w:top w:val="nil"/>
              <w:left w:val="nil"/>
              <w:bottom w:val="nil"/>
              <w:right w:val="nil"/>
            </w:tcBorders>
            <w:shd w:val="clear" w:color="auto" w:fill="auto"/>
            <w:noWrap/>
            <w:vAlign w:val="bottom"/>
            <w:hideMark/>
          </w:tcPr>
          <w:p w14:paraId="32B13916" w14:textId="22FCB549" w:rsidR="00D87B08" w:rsidRPr="00896F46" w:rsidRDefault="00D87B08" w:rsidP="00D87B08">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AEM</w:t>
            </w:r>
          </w:p>
        </w:tc>
        <w:tc>
          <w:tcPr>
            <w:tcW w:w="1393" w:type="dxa"/>
            <w:tcBorders>
              <w:top w:val="nil"/>
              <w:left w:val="nil"/>
              <w:bottom w:val="nil"/>
              <w:right w:val="nil"/>
            </w:tcBorders>
            <w:shd w:val="clear" w:color="auto" w:fill="auto"/>
            <w:noWrap/>
            <w:vAlign w:val="bottom"/>
          </w:tcPr>
          <w:p w14:paraId="53E7BC8F"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7C39A34C" w14:textId="027A40B8" w:rsidR="00D87B08" w:rsidRPr="00896F46" w:rsidRDefault="00FF6A01" w:rsidP="00D87B08">
            <w:pPr>
              <w:spacing w:after="0" w:line="240" w:lineRule="auto"/>
              <w:jc w:val="center"/>
              <w:rPr>
                <w:rFonts w:ascii="Times New Roman" w:eastAsia="Times New Roman" w:hAnsi="Times New Roman" w:cs="Times New Roman"/>
                <w:sz w:val="20"/>
                <w:szCs w:val="20"/>
                <w:lang w:eastAsia="en-NZ"/>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0.0455*</w:t>
            </w:r>
          </w:p>
        </w:tc>
        <w:tc>
          <w:tcPr>
            <w:tcW w:w="1396" w:type="dxa"/>
            <w:tcBorders>
              <w:top w:val="nil"/>
              <w:left w:val="nil"/>
              <w:bottom w:val="nil"/>
              <w:right w:val="nil"/>
            </w:tcBorders>
            <w:shd w:val="clear" w:color="auto" w:fill="auto"/>
            <w:vAlign w:val="bottom"/>
          </w:tcPr>
          <w:p w14:paraId="4A3A8349" w14:textId="77777777"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41CB57EB" w14:textId="25246E50"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737" w:type="dxa"/>
            <w:tcBorders>
              <w:top w:val="nil"/>
              <w:left w:val="single" w:sz="4" w:space="0" w:color="auto"/>
              <w:bottom w:val="nil"/>
              <w:right w:val="nil"/>
            </w:tcBorders>
            <w:shd w:val="clear" w:color="auto" w:fill="auto"/>
            <w:vAlign w:val="bottom"/>
          </w:tcPr>
          <w:p w14:paraId="30F8A864" w14:textId="6E177CD3" w:rsidR="00D87B08" w:rsidRPr="00896F46" w:rsidRDefault="005928D4" w:rsidP="00D87B0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0.02</w:t>
            </w:r>
            <w:r w:rsidR="00667484">
              <w:rPr>
                <w:rFonts w:ascii="Times New Roman" w:hAnsi="Times New Roman" w:cs="Times New Roman"/>
                <w:color w:val="000000"/>
                <w:sz w:val="20"/>
                <w:szCs w:val="20"/>
              </w:rPr>
              <w:t>70</w:t>
            </w:r>
            <w:r w:rsidR="00D87B08" w:rsidRPr="001578CB">
              <w:rPr>
                <w:rFonts w:ascii="Times New Roman" w:hAnsi="Times New Roman" w:cs="Times New Roman"/>
                <w:color w:val="000000"/>
                <w:sz w:val="20"/>
                <w:szCs w:val="20"/>
              </w:rPr>
              <w:t>***</w:t>
            </w:r>
          </w:p>
        </w:tc>
        <w:tc>
          <w:tcPr>
            <w:tcW w:w="1924" w:type="dxa"/>
            <w:tcBorders>
              <w:top w:val="nil"/>
              <w:left w:val="nil"/>
              <w:bottom w:val="nil"/>
              <w:right w:val="nil"/>
            </w:tcBorders>
            <w:shd w:val="clear" w:color="auto" w:fill="auto"/>
            <w:vAlign w:val="bottom"/>
          </w:tcPr>
          <w:p w14:paraId="4E60CBE2" w14:textId="37B4A826" w:rsidR="00D87B08" w:rsidRPr="00896F46" w:rsidRDefault="00D87B08" w:rsidP="00D87B08">
            <w:pPr>
              <w:spacing w:after="0" w:line="240" w:lineRule="auto"/>
              <w:jc w:val="center"/>
              <w:rPr>
                <w:rFonts w:ascii="Times New Roman" w:hAnsi="Times New Roman" w:cs="Times New Roman"/>
                <w:color w:val="000000"/>
                <w:sz w:val="20"/>
                <w:szCs w:val="20"/>
              </w:rPr>
            </w:pPr>
          </w:p>
        </w:tc>
      </w:tr>
      <w:tr w:rsidR="001578CB" w:rsidRPr="00896F46" w14:paraId="040613B3" w14:textId="77777777" w:rsidTr="001578CB">
        <w:trPr>
          <w:trHeight w:val="113"/>
        </w:trPr>
        <w:tc>
          <w:tcPr>
            <w:tcW w:w="4037" w:type="dxa"/>
            <w:tcBorders>
              <w:top w:val="nil"/>
              <w:left w:val="nil"/>
              <w:bottom w:val="nil"/>
              <w:right w:val="nil"/>
            </w:tcBorders>
            <w:shd w:val="clear" w:color="auto" w:fill="auto"/>
            <w:noWrap/>
            <w:vAlign w:val="bottom"/>
            <w:hideMark/>
          </w:tcPr>
          <w:p w14:paraId="61E0CE50"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0857B90B"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286296A4" w14:textId="1A086DF9"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w:t>
            </w:r>
            <w:r w:rsidR="005928D4">
              <w:rPr>
                <w:rFonts w:ascii="Times New Roman" w:hAnsi="Times New Roman" w:cs="Times New Roman"/>
                <w:color w:val="000000"/>
                <w:sz w:val="20"/>
                <w:szCs w:val="20"/>
              </w:rPr>
              <w:t>-</w:t>
            </w:r>
            <w:r w:rsidRPr="001578CB">
              <w:rPr>
                <w:rFonts w:ascii="Times New Roman" w:hAnsi="Times New Roman" w:cs="Times New Roman"/>
                <w:color w:val="000000"/>
                <w:sz w:val="20"/>
                <w:szCs w:val="20"/>
              </w:rPr>
              <w:t>1.7123)</w:t>
            </w:r>
          </w:p>
        </w:tc>
        <w:tc>
          <w:tcPr>
            <w:tcW w:w="1396" w:type="dxa"/>
            <w:tcBorders>
              <w:top w:val="nil"/>
              <w:left w:val="nil"/>
              <w:bottom w:val="nil"/>
              <w:right w:val="nil"/>
            </w:tcBorders>
            <w:shd w:val="clear" w:color="auto" w:fill="auto"/>
            <w:vAlign w:val="bottom"/>
          </w:tcPr>
          <w:p w14:paraId="6939DB88" w14:textId="77777777"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6BA7D4F5" w14:textId="43B84C5E"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737" w:type="dxa"/>
            <w:tcBorders>
              <w:top w:val="nil"/>
              <w:left w:val="single" w:sz="4" w:space="0" w:color="auto"/>
              <w:bottom w:val="nil"/>
              <w:right w:val="nil"/>
            </w:tcBorders>
            <w:shd w:val="clear" w:color="auto" w:fill="auto"/>
            <w:vAlign w:val="bottom"/>
          </w:tcPr>
          <w:p w14:paraId="20A1B211" w14:textId="31B35A47" w:rsidR="00D87B08" w:rsidRPr="00896F46" w:rsidRDefault="00D87B08" w:rsidP="00D87B08">
            <w:pPr>
              <w:spacing w:after="0" w:line="240" w:lineRule="auto"/>
              <w:jc w:val="center"/>
              <w:rPr>
                <w:rFonts w:ascii="Times New Roman" w:hAnsi="Times New Roman" w:cs="Times New Roman"/>
                <w:sz w:val="20"/>
                <w:szCs w:val="20"/>
              </w:rPr>
            </w:pPr>
            <w:r w:rsidRPr="001578CB">
              <w:rPr>
                <w:rFonts w:ascii="Times New Roman" w:hAnsi="Times New Roman" w:cs="Times New Roman"/>
                <w:color w:val="000000"/>
                <w:sz w:val="20"/>
                <w:szCs w:val="20"/>
              </w:rPr>
              <w:t>(</w:t>
            </w:r>
            <w:r w:rsidR="005928D4">
              <w:rPr>
                <w:rFonts w:ascii="Times New Roman" w:hAnsi="Times New Roman" w:cs="Times New Roman"/>
                <w:color w:val="000000"/>
                <w:sz w:val="20"/>
                <w:szCs w:val="20"/>
              </w:rPr>
              <w:t>-</w:t>
            </w:r>
            <w:r w:rsidRPr="001578CB">
              <w:rPr>
                <w:rFonts w:ascii="Times New Roman" w:hAnsi="Times New Roman" w:cs="Times New Roman"/>
                <w:color w:val="000000"/>
                <w:sz w:val="20"/>
                <w:szCs w:val="20"/>
              </w:rPr>
              <w:t>5.</w:t>
            </w:r>
            <w:r w:rsidR="00667484">
              <w:rPr>
                <w:rFonts w:ascii="Times New Roman" w:hAnsi="Times New Roman" w:cs="Times New Roman"/>
                <w:color w:val="000000"/>
                <w:sz w:val="20"/>
                <w:szCs w:val="20"/>
              </w:rPr>
              <w:t>1632</w:t>
            </w:r>
            <w:r w:rsidRPr="001578CB">
              <w:rPr>
                <w:rFonts w:ascii="Times New Roman" w:hAnsi="Times New Roman" w:cs="Times New Roman"/>
                <w:color w:val="000000"/>
                <w:sz w:val="20"/>
                <w:szCs w:val="20"/>
              </w:rPr>
              <w:t>)</w:t>
            </w:r>
          </w:p>
        </w:tc>
        <w:tc>
          <w:tcPr>
            <w:tcW w:w="1924" w:type="dxa"/>
            <w:tcBorders>
              <w:top w:val="nil"/>
              <w:left w:val="nil"/>
              <w:bottom w:val="nil"/>
              <w:right w:val="nil"/>
            </w:tcBorders>
            <w:shd w:val="clear" w:color="auto" w:fill="auto"/>
            <w:vAlign w:val="bottom"/>
          </w:tcPr>
          <w:p w14:paraId="763901C7" w14:textId="28A38961" w:rsidR="00D87B08" w:rsidRPr="00896F46" w:rsidRDefault="00D87B08" w:rsidP="00D87B08">
            <w:pPr>
              <w:spacing w:after="0" w:line="240" w:lineRule="auto"/>
              <w:jc w:val="center"/>
              <w:rPr>
                <w:rFonts w:ascii="Times New Roman" w:hAnsi="Times New Roman" w:cs="Times New Roman"/>
                <w:color w:val="000000"/>
                <w:sz w:val="20"/>
                <w:szCs w:val="20"/>
              </w:rPr>
            </w:pPr>
          </w:p>
        </w:tc>
      </w:tr>
      <w:tr w:rsidR="00D87B08" w:rsidRPr="00896F46" w14:paraId="54544A1D" w14:textId="77777777" w:rsidTr="001578CB">
        <w:trPr>
          <w:trHeight w:val="113"/>
        </w:trPr>
        <w:tc>
          <w:tcPr>
            <w:tcW w:w="4037" w:type="dxa"/>
            <w:tcBorders>
              <w:top w:val="nil"/>
              <w:left w:val="nil"/>
              <w:bottom w:val="nil"/>
              <w:right w:val="nil"/>
            </w:tcBorders>
            <w:shd w:val="clear" w:color="auto" w:fill="auto"/>
            <w:noWrap/>
            <w:vAlign w:val="bottom"/>
          </w:tcPr>
          <w:p w14:paraId="782E7CC9" w14:textId="6A729240" w:rsidR="00D87B08" w:rsidRPr="00896F46" w:rsidRDefault="00D87B08" w:rsidP="00D87B08">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RAM</w:t>
            </w:r>
          </w:p>
        </w:tc>
        <w:tc>
          <w:tcPr>
            <w:tcW w:w="1393" w:type="dxa"/>
            <w:tcBorders>
              <w:top w:val="nil"/>
              <w:left w:val="nil"/>
              <w:bottom w:val="nil"/>
              <w:right w:val="nil"/>
            </w:tcBorders>
            <w:shd w:val="clear" w:color="auto" w:fill="auto"/>
            <w:noWrap/>
            <w:vAlign w:val="bottom"/>
          </w:tcPr>
          <w:p w14:paraId="2A762528" w14:textId="77E74849"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117C2602"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62CAD039" w14:textId="6128DE5C"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19A30F13" w14:textId="506FAA58" w:rsidR="00D87B08" w:rsidRPr="00896F46" w:rsidRDefault="005928D4"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0.1684***</w:t>
            </w:r>
          </w:p>
        </w:tc>
        <w:tc>
          <w:tcPr>
            <w:tcW w:w="1737" w:type="dxa"/>
            <w:tcBorders>
              <w:top w:val="nil"/>
              <w:left w:val="single" w:sz="4" w:space="0" w:color="auto"/>
              <w:bottom w:val="nil"/>
              <w:right w:val="nil"/>
            </w:tcBorders>
            <w:shd w:val="clear" w:color="auto" w:fill="auto"/>
            <w:vAlign w:val="bottom"/>
          </w:tcPr>
          <w:p w14:paraId="1F8602C1" w14:textId="63E75422" w:rsidR="00D87B08" w:rsidRPr="00896F46" w:rsidRDefault="005928D4"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0.101</w:t>
            </w:r>
            <w:r w:rsidR="00667484">
              <w:rPr>
                <w:rFonts w:ascii="Times New Roman" w:hAnsi="Times New Roman" w:cs="Times New Roman"/>
                <w:color w:val="000000"/>
                <w:sz w:val="20"/>
                <w:szCs w:val="20"/>
              </w:rPr>
              <w:t>7</w:t>
            </w:r>
            <w:r w:rsidR="00D87B08" w:rsidRPr="001578CB">
              <w:rPr>
                <w:rFonts w:ascii="Times New Roman" w:hAnsi="Times New Roman" w:cs="Times New Roman"/>
                <w:color w:val="000000"/>
                <w:sz w:val="20"/>
                <w:szCs w:val="20"/>
              </w:rPr>
              <w:t>***</w:t>
            </w:r>
          </w:p>
        </w:tc>
        <w:tc>
          <w:tcPr>
            <w:tcW w:w="1924" w:type="dxa"/>
            <w:tcBorders>
              <w:top w:val="nil"/>
              <w:left w:val="nil"/>
              <w:bottom w:val="nil"/>
              <w:right w:val="nil"/>
            </w:tcBorders>
            <w:shd w:val="clear" w:color="auto" w:fill="auto"/>
            <w:vAlign w:val="bottom"/>
          </w:tcPr>
          <w:p w14:paraId="73245816" w14:textId="77777777" w:rsidR="00D87B08" w:rsidRPr="00896F46" w:rsidRDefault="00D87B08" w:rsidP="00D87B08">
            <w:pPr>
              <w:spacing w:after="0" w:line="240" w:lineRule="auto"/>
              <w:jc w:val="center"/>
              <w:rPr>
                <w:rFonts w:ascii="Times New Roman" w:hAnsi="Times New Roman" w:cs="Times New Roman"/>
                <w:color w:val="000000"/>
                <w:sz w:val="20"/>
                <w:szCs w:val="20"/>
              </w:rPr>
            </w:pPr>
          </w:p>
        </w:tc>
      </w:tr>
      <w:tr w:rsidR="00D87B08" w:rsidRPr="00896F46" w14:paraId="6EC01BBE" w14:textId="77777777" w:rsidTr="001578CB">
        <w:trPr>
          <w:trHeight w:val="113"/>
        </w:trPr>
        <w:tc>
          <w:tcPr>
            <w:tcW w:w="4037" w:type="dxa"/>
            <w:tcBorders>
              <w:top w:val="nil"/>
              <w:left w:val="nil"/>
              <w:bottom w:val="nil"/>
              <w:right w:val="nil"/>
            </w:tcBorders>
            <w:shd w:val="clear" w:color="auto" w:fill="auto"/>
            <w:noWrap/>
            <w:vAlign w:val="bottom"/>
          </w:tcPr>
          <w:p w14:paraId="40AC19C5"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25656F3D" w14:textId="19ED28FA"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3F693460"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420B3013" w14:textId="7ECD02B0"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424023A4" w14:textId="66E6D758"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5928D4">
              <w:rPr>
                <w:rFonts w:ascii="Times New Roman" w:hAnsi="Times New Roman" w:cs="Times New Roman"/>
                <w:color w:val="000000"/>
                <w:sz w:val="20"/>
                <w:szCs w:val="20"/>
              </w:rPr>
              <w:t>-</w:t>
            </w:r>
            <w:r w:rsidRPr="001578CB">
              <w:rPr>
                <w:rFonts w:ascii="Times New Roman" w:hAnsi="Times New Roman" w:cs="Times New Roman"/>
                <w:color w:val="000000"/>
                <w:sz w:val="20"/>
                <w:szCs w:val="20"/>
              </w:rPr>
              <w:t>7.1383)</w:t>
            </w:r>
          </w:p>
        </w:tc>
        <w:tc>
          <w:tcPr>
            <w:tcW w:w="1737" w:type="dxa"/>
            <w:tcBorders>
              <w:top w:val="nil"/>
              <w:left w:val="single" w:sz="4" w:space="0" w:color="auto"/>
              <w:bottom w:val="nil"/>
              <w:right w:val="nil"/>
            </w:tcBorders>
            <w:shd w:val="clear" w:color="auto" w:fill="auto"/>
            <w:vAlign w:val="bottom"/>
          </w:tcPr>
          <w:p w14:paraId="31A42325" w14:textId="4A0DAABA"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5928D4">
              <w:rPr>
                <w:rFonts w:ascii="Times New Roman" w:hAnsi="Times New Roman" w:cs="Times New Roman"/>
                <w:color w:val="000000"/>
                <w:sz w:val="20"/>
                <w:szCs w:val="20"/>
              </w:rPr>
              <w:t>-</w:t>
            </w:r>
            <w:r w:rsidRPr="001578CB">
              <w:rPr>
                <w:rFonts w:ascii="Times New Roman" w:hAnsi="Times New Roman" w:cs="Times New Roman"/>
                <w:color w:val="000000"/>
                <w:sz w:val="20"/>
                <w:szCs w:val="20"/>
              </w:rPr>
              <w:t>19.</w:t>
            </w:r>
            <w:r w:rsidR="007F6165">
              <w:rPr>
                <w:rFonts w:ascii="Times New Roman" w:hAnsi="Times New Roman" w:cs="Times New Roman"/>
                <w:color w:val="000000"/>
                <w:sz w:val="20"/>
                <w:szCs w:val="20"/>
              </w:rPr>
              <w:t>0859</w:t>
            </w:r>
            <w:r w:rsidRPr="001578CB">
              <w:rPr>
                <w:rFonts w:ascii="Times New Roman" w:hAnsi="Times New Roman" w:cs="Times New Roman"/>
                <w:color w:val="000000"/>
                <w:sz w:val="20"/>
                <w:szCs w:val="20"/>
              </w:rPr>
              <w:t>)</w:t>
            </w:r>
          </w:p>
        </w:tc>
        <w:tc>
          <w:tcPr>
            <w:tcW w:w="1924" w:type="dxa"/>
            <w:tcBorders>
              <w:top w:val="nil"/>
              <w:left w:val="nil"/>
              <w:bottom w:val="nil"/>
              <w:right w:val="nil"/>
            </w:tcBorders>
            <w:shd w:val="clear" w:color="auto" w:fill="auto"/>
            <w:vAlign w:val="bottom"/>
          </w:tcPr>
          <w:p w14:paraId="00E510BF" w14:textId="77777777" w:rsidR="00D87B08" w:rsidRPr="00896F46" w:rsidRDefault="00D87B08" w:rsidP="00D87B08">
            <w:pPr>
              <w:spacing w:after="0" w:line="240" w:lineRule="auto"/>
              <w:jc w:val="center"/>
              <w:rPr>
                <w:rFonts w:ascii="Times New Roman" w:hAnsi="Times New Roman" w:cs="Times New Roman"/>
                <w:color w:val="000000"/>
                <w:sz w:val="20"/>
                <w:szCs w:val="20"/>
              </w:rPr>
            </w:pPr>
          </w:p>
        </w:tc>
      </w:tr>
      <w:tr w:rsidR="00D87B08" w:rsidRPr="00896F46" w14:paraId="12894A82" w14:textId="77777777" w:rsidTr="001578CB">
        <w:trPr>
          <w:trHeight w:val="113"/>
        </w:trPr>
        <w:tc>
          <w:tcPr>
            <w:tcW w:w="4037" w:type="dxa"/>
            <w:tcBorders>
              <w:top w:val="nil"/>
              <w:left w:val="nil"/>
              <w:bottom w:val="nil"/>
              <w:right w:val="nil"/>
            </w:tcBorders>
            <w:shd w:val="clear" w:color="auto" w:fill="auto"/>
            <w:noWrap/>
            <w:vAlign w:val="bottom"/>
          </w:tcPr>
          <w:p w14:paraId="5AF5363E" w14:textId="1F1A48CE" w:rsidR="00D87B08" w:rsidRPr="00896F46" w:rsidRDefault="00D87B08" w:rsidP="00D87B08">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TAR</w:t>
            </w:r>
          </w:p>
        </w:tc>
        <w:tc>
          <w:tcPr>
            <w:tcW w:w="1393" w:type="dxa"/>
            <w:tcBorders>
              <w:top w:val="nil"/>
              <w:left w:val="nil"/>
              <w:bottom w:val="nil"/>
              <w:right w:val="nil"/>
            </w:tcBorders>
            <w:shd w:val="clear" w:color="auto" w:fill="auto"/>
            <w:noWrap/>
            <w:vAlign w:val="bottom"/>
          </w:tcPr>
          <w:p w14:paraId="0C2ED566" w14:textId="3C9F6D5D"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7BBD5A9B"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2A49E120" w14:textId="3A49CF38"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6F4E42FE" w14:textId="77777777"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737" w:type="dxa"/>
            <w:tcBorders>
              <w:top w:val="nil"/>
              <w:left w:val="single" w:sz="4" w:space="0" w:color="auto"/>
              <w:bottom w:val="nil"/>
              <w:right w:val="nil"/>
            </w:tcBorders>
            <w:shd w:val="clear" w:color="auto" w:fill="auto"/>
            <w:vAlign w:val="bottom"/>
          </w:tcPr>
          <w:p w14:paraId="286CF739" w14:textId="15E01A0C"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924" w:type="dxa"/>
            <w:tcBorders>
              <w:top w:val="nil"/>
              <w:left w:val="nil"/>
              <w:bottom w:val="nil"/>
              <w:right w:val="nil"/>
            </w:tcBorders>
            <w:shd w:val="clear" w:color="auto" w:fill="auto"/>
            <w:vAlign w:val="bottom"/>
          </w:tcPr>
          <w:p w14:paraId="7754FD60" w14:textId="41EEA6FA" w:rsidR="00D87B08" w:rsidRPr="00896F46" w:rsidRDefault="005928D4"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0.0646***</w:t>
            </w:r>
          </w:p>
        </w:tc>
      </w:tr>
      <w:tr w:rsidR="00D87B08" w:rsidRPr="00896F46" w14:paraId="6408FD2B" w14:textId="77777777" w:rsidTr="001578CB">
        <w:trPr>
          <w:trHeight w:val="113"/>
        </w:trPr>
        <w:tc>
          <w:tcPr>
            <w:tcW w:w="4037" w:type="dxa"/>
            <w:tcBorders>
              <w:top w:val="nil"/>
              <w:left w:val="nil"/>
              <w:bottom w:val="nil"/>
              <w:right w:val="nil"/>
            </w:tcBorders>
            <w:shd w:val="clear" w:color="auto" w:fill="auto"/>
            <w:noWrap/>
            <w:vAlign w:val="bottom"/>
          </w:tcPr>
          <w:p w14:paraId="37FC0FCE"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5BF71C9D" w14:textId="0A9E055B"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32119784" w14:textId="7777777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67EE6CAE" w14:textId="4B335057"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40CC4539" w14:textId="77777777"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737" w:type="dxa"/>
            <w:tcBorders>
              <w:top w:val="nil"/>
              <w:left w:val="single" w:sz="4" w:space="0" w:color="auto"/>
              <w:bottom w:val="nil"/>
              <w:right w:val="nil"/>
            </w:tcBorders>
            <w:shd w:val="clear" w:color="auto" w:fill="auto"/>
            <w:vAlign w:val="bottom"/>
          </w:tcPr>
          <w:p w14:paraId="778878C4" w14:textId="3E07AA7A" w:rsidR="00D87B08" w:rsidRPr="00896F46" w:rsidRDefault="00D87B08" w:rsidP="00D87B08">
            <w:pPr>
              <w:spacing w:after="0" w:line="240" w:lineRule="auto"/>
              <w:jc w:val="center"/>
              <w:rPr>
                <w:rFonts w:ascii="Times New Roman" w:hAnsi="Times New Roman" w:cs="Times New Roman"/>
                <w:color w:val="000000"/>
                <w:sz w:val="20"/>
                <w:szCs w:val="20"/>
              </w:rPr>
            </w:pPr>
          </w:p>
        </w:tc>
        <w:tc>
          <w:tcPr>
            <w:tcW w:w="1924" w:type="dxa"/>
            <w:tcBorders>
              <w:top w:val="nil"/>
              <w:left w:val="nil"/>
              <w:bottom w:val="nil"/>
              <w:right w:val="nil"/>
            </w:tcBorders>
            <w:shd w:val="clear" w:color="auto" w:fill="auto"/>
            <w:vAlign w:val="bottom"/>
          </w:tcPr>
          <w:p w14:paraId="498DE7F8" w14:textId="78C5A240"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5928D4">
              <w:rPr>
                <w:rFonts w:ascii="Times New Roman" w:hAnsi="Times New Roman" w:cs="Times New Roman"/>
                <w:color w:val="000000"/>
                <w:sz w:val="20"/>
                <w:szCs w:val="20"/>
              </w:rPr>
              <w:t>-</w:t>
            </w:r>
            <w:r w:rsidRPr="001578CB">
              <w:rPr>
                <w:rFonts w:ascii="Times New Roman" w:hAnsi="Times New Roman" w:cs="Times New Roman"/>
                <w:color w:val="000000"/>
                <w:sz w:val="20"/>
                <w:szCs w:val="20"/>
              </w:rPr>
              <w:t>17.</w:t>
            </w:r>
            <w:r w:rsidR="00347B88">
              <w:rPr>
                <w:rFonts w:ascii="Times New Roman" w:hAnsi="Times New Roman" w:cs="Times New Roman"/>
                <w:color w:val="000000"/>
                <w:sz w:val="20"/>
                <w:szCs w:val="20"/>
              </w:rPr>
              <w:t>2748</w:t>
            </w:r>
            <w:r w:rsidRPr="001578CB">
              <w:rPr>
                <w:rFonts w:ascii="Times New Roman" w:hAnsi="Times New Roman" w:cs="Times New Roman"/>
                <w:color w:val="000000"/>
                <w:sz w:val="20"/>
                <w:szCs w:val="20"/>
              </w:rPr>
              <w:t>)</w:t>
            </w:r>
          </w:p>
        </w:tc>
      </w:tr>
      <w:tr w:rsidR="002C7418" w:rsidRPr="00896F46" w14:paraId="161FC2A8" w14:textId="77777777" w:rsidTr="001578CB">
        <w:trPr>
          <w:trHeight w:val="113"/>
        </w:trPr>
        <w:tc>
          <w:tcPr>
            <w:tcW w:w="4037" w:type="dxa"/>
            <w:tcBorders>
              <w:top w:val="nil"/>
              <w:left w:val="nil"/>
              <w:bottom w:val="nil"/>
              <w:right w:val="nil"/>
            </w:tcBorders>
            <w:shd w:val="clear" w:color="auto" w:fill="auto"/>
            <w:noWrap/>
            <w:vAlign w:val="bottom"/>
          </w:tcPr>
          <w:p w14:paraId="66996C81" w14:textId="6CBEBB1B" w:rsidR="002C7418" w:rsidRPr="00896F46" w:rsidRDefault="002C7418" w:rsidP="00D87B08">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LAW</w:t>
            </w:r>
          </w:p>
        </w:tc>
        <w:tc>
          <w:tcPr>
            <w:tcW w:w="1393" w:type="dxa"/>
            <w:tcBorders>
              <w:top w:val="nil"/>
              <w:left w:val="nil"/>
              <w:bottom w:val="nil"/>
              <w:right w:val="nil"/>
            </w:tcBorders>
            <w:shd w:val="clear" w:color="auto" w:fill="auto"/>
            <w:noWrap/>
            <w:vAlign w:val="bottom"/>
          </w:tcPr>
          <w:p w14:paraId="26E471E6" w14:textId="77777777" w:rsidR="002C7418" w:rsidRPr="00896F46" w:rsidRDefault="002C741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24F240A6" w14:textId="77777777" w:rsidR="002C7418" w:rsidRPr="00896F46" w:rsidRDefault="002C741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7CA6EDB4" w14:textId="77777777" w:rsidR="002C7418" w:rsidRPr="00896F46" w:rsidRDefault="002C741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2AFA0495" w14:textId="77777777" w:rsidR="002C7418" w:rsidRPr="00896F46" w:rsidRDefault="002C7418" w:rsidP="00D87B08">
            <w:pPr>
              <w:spacing w:after="0" w:line="240" w:lineRule="auto"/>
              <w:jc w:val="center"/>
              <w:rPr>
                <w:rFonts w:ascii="Times New Roman" w:hAnsi="Times New Roman" w:cs="Times New Roman"/>
                <w:color w:val="000000"/>
                <w:sz w:val="20"/>
                <w:szCs w:val="20"/>
              </w:rPr>
            </w:pPr>
          </w:p>
        </w:tc>
        <w:tc>
          <w:tcPr>
            <w:tcW w:w="1737" w:type="dxa"/>
            <w:tcBorders>
              <w:top w:val="nil"/>
              <w:left w:val="single" w:sz="4" w:space="0" w:color="auto"/>
              <w:bottom w:val="nil"/>
              <w:right w:val="nil"/>
            </w:tcBorders>
            <w:shd w:val="clear" w:color="auto" w:fill="auto"/>
            <w:vAlign w:val="bottom"/>
          </w:tcPr>
          <w:p w14:paraId="548E9B13" w14:textId="0A982A51" w:rsidR="002C7418" w:rsidRPr="00896F46" w:rsidRDefault="007F6165"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0.0740***</w:t>
            </w:r>
          </w:p>
        </w:tc>
        <w:tc>
          <w:tcPr>
            <w:tcW w:w="1924" w:type="dxa"/>
            <w:tcBorders>
              <w:top w:val="nil"/>
              <w:left w:val="nil"/>
              <w:bottom w:val="nil"/>
              <w:right w:val="nil"/>
            </w:tcBorders>
            <w:shd w:val="clear" w:color="auto" w:fill="auto"/>
            <w:vAlign w:val="bottom"/>
          </w:tcPr>
          <w:p w14:paraId="7DE004A9" w14:textId="77777777" w:rsidR="002C7418" w:rsidRPr="002C7418" w:rsidRDefault="002C7418" w:rsidP="00D87B08">
            <w:pPr>
              <w:spacing w:after="0" w:line="240" w:lineRule="auto"/>
              <w:jc w:val="center"/>
              <w:rPr>
                <w:rFonts w:ascii="Times New Roman" w:hAnsi="Times New Roman" w:cs="Times New Roman"/>
                <w:color w:val="000000"/>
                <w:sz w:val="20"/>
                <w:szCs w:val="20"/>
              </w:rPr>
            </w:pPr>
          </w:p>
        </w:tc>
      </w:tr>
      <w:tr w:rsidR="002C7418" w:rsidRPr="00896F46" w14:paraId="572F34C5" w14:textId="77777777" w:rsidTr="001578CB">
        <w:trPr>
          <w:trHeight w:val="113"/>
        </w:trPr>
        <w:tc>
          <w:tcPr>
            <w:tcW w:w="4037" w:type="dxa"/>
            <w:tcBorders>
              <w:top w:val="nil"/>
              <w:left w:val="nil"/>
              <w:bottom w:val="nil"/>
              <w:right w:val="nil"/>
            </w:tcBorders>
            <w:shd w:val="clear" w:color="auto" w:fill="auto"/>
            <w:noWrap/>
            <w:vAlign w:val="bottom"/>
          </w:tcPr>
          <w:p w14:paraId="2A859A6C" w14:textId="77777777" w:rsidR="002C7418" w:rsidRPr="00896F46" w:rsidRDefault="002C741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6281ED6F" w14:textId="77777777" w:rsidR="002C7418" w:rsidRPr="00896F46" w:rsidRDefault="002C7418" w:rsidP="00D87B08">
            <w:pPr>
              <w:spacing w:after="0" w:line="240" w:lineRule="auto"/>
              <w:jc w:val="center"/>
              <w:rPr>
                <w:rFonts w:ascii="Times New Roman" w:eastAsia="Times New Roman" w:hAnsi="Times New Roman" w:cs="Times New Roman"/>
                <w:sz w:val="20"/>
                <w:szCs w:val="20"/>
                <w:lang w:eastAsia="en-NZ"/>
              </w:rPr>
            </w:pPr>
          </w:p>
        </w:tc>
        <w:tc>
          <w:tcPr>
            <w:tcW w:w="1867" w:type="dxa"/>
            <w:tcBorders>
              <w:top w:val="nil"/>
              <w:left w:val="nil"/>
              <w:bottom w:val="nil"/>
              <w:right w:val="nil"/>
            </w:tcBorders>
            <w:shd w:val="clear" w:color="auto" w:fill="auto"/>
            <w:noWrap/>
            <w:vAlign w:val="bottom"/>
          </w:tcPr>
          <w:p w14:paraId="2D7EB11D" w14:textId="77777777" w:rsidR="002C7418" w:rsidRPr="00896F46" w:rsidRDefault="002C7418" w:rsidP="00D87B08">
            <w:pPr>
              <w:spacing w:after="0" w:line="240" w:lineRule="auto"/>
              <w:jc w:val="center"/>
              <w:rPr>
                <w:rFonts w:ascii="Times New Roman" w:eastAsia="Times New Roman" w:hAnsi="Times New Roman" w:cs="Times New Roman"/>
                <w:sz w:val="20"/>
                <w:szCs w:val="20"/>
                <w:lang w:eastAsia="en-NZ"/>
              </w:rPr>
            </w:pPr>
          </w:p>
        </w:tc>
        <w:tc>
          <w:tcPr>
            <w:tcW w:w="1396" w:type="dxa"/>
            <w:tcBorders>
              <w:top w:val="nil"/>
              <w:left w:val="nil"/>
              <w:bottom w:val="nil"/>
              <w:right w:val="nil"/>
            </w:tcBorders>
            <w:shd w:val="clear" w:color="auto" w:fill="auto"/>
            <w:vAlign w:val="bottom"/>
          </w:tcPr>
          <w:p w14:paraId="705D6DB0" w14:textId="77777777" w:rsidR="002C7418" w:rsidRPr="00896F46" w:rsidRDefault="002C7418" w:rsidP="00D87B08">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vAlign w:val="bottom"/>
          </w:tcPr>
          <w:p w14:paraId="4B45F611" w14:textId="77777777" w:rsidR="002C7418" w:rsidRPr="00896F46" w:rsidRDefault="002C7418" w:rsidP="00D87B08">
            <w:pPr>
              <w:spacing w:after="0" w:line="240" w:lineRule="auto"/>
              <w:jc w:val="center"/>
              <w:rPr>
                <w:rFonts w:ascii="Times New Roman" w:hAnsi="Times New Roman" w:cs="Times New Roman"/>
                <w:color w:val="000000"/>
                <w:sz w:val="20"/>
                <w:szCs w:val="20"/>
              </w:rPr>
            </w:pPr>
          </w:p>
        </w:tc>
        <w:tc>
          <w:tcPr>
            <w:tcW w:w="1737" w:type="dxa"/>
            <w:tcBorders>
              <w:top w:val="nil"/>
              <w:left w:val="single" w:sz="4" w:space="0" w:color="auto"/>
              <w:bottom w:val="nil"/>
              <w:right w:val="nil"/>
            </w:tcBorders>
            <w:shd w:val="clear" w:color="auto" w:fill="auto"/>
            <w:vAlign w:val="bottom"/>
          </w:tcPr>
          <w:p w14:paraId="55FDD133" w14:textId="6E0E6867" w:rsidR="002C7418" w:rsidRPr="00896F46" w:rsidRDefault="007F6165"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(4.6494</w:t>
            </w:r>
            <w:r w:rsidR="00347B88">
              <w:rPr>
                <w:rFonts w:ascii="Times New Roman" w:hAnsi="Times New Roman" w:cs="Times New Roman"/>
                <w:color w:val="000000"/>
                <w:sz w:val="20"/>
                <w:szCs w:val="20"/>
              </w:rPr>
              <w:t>)</w:t>
            </w:r>
          </w:p>
        </w:tc>
        <w:tc>
          <w:tcPr>
            <w:tcW w:w="1924" w:type="dxa"/>
            <w:tcBorders>
              <w:top w:val="nil"/>
              <w:left w:val="nil"/>
              <w:bottom w:val="nil"/>
              <w:right w:val="nil"/>
            </w:tcBorders>
            <w:shd w:val="clear" w:color="auto" w:fill="auto"/>
            <w:vAlign w:val="bottom"/>
          </w:tcPr>
          <w:p w14:paraId="054F885E" w14:textId="77777777" w:rsidR="002C7418" w:rsidRPr="002C7418" w:rsidRDefault="002C7418" w:rsidP="00D87B08">
            <w:pPr>
              <w:spacing w:after="0" w:line="240" w:lineRule="auto"/>
              <w:jc w:val="center"/>
              <w:rPr>
                <w:rFonts w:ascii="Times New Roman" w:hAnsi="Times New Roman" w:cs="Times New Roman"/>
                <w:color w:val="000000"/>
                <w:sz w:val="20"/>
                <w:szCs w:val="20"/>
              </w:rPr>
            </w:pPr>
          </w:p>
        </w:tc>
      </w:tr>
      <w:tr w:rsidR="00D87B08" w:rsidRPr="00896F46" w14:paraId="580D64EE" w14:textId="77777777" w:rsidTr="001578CB">
        <w:trPr>
          <w:trHeight w:val="113"/>
        </w:trPr>
        <w:tc>
          <w:tcPr>
            <w:tcW w:w="4037" w:type="dxa"/>
            <w:tcBorders>
              <w:top w:val="nil"/>
              <w:left w:val="nil"/>
              <w:bottom w:val="nil"/>
              <w:right w:val="nil"/>
            </w:tcBorders>
            <w:shd w:val="clear" w:color="auto" w:fill="auto"/>
            <w:noWrap/>
            <w:vAlign w:val="bottom"/>
          </w:tcPr>
          <w:p w14:paraId="1FBB4C6B"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Constant</w:t>
            </w:r>
          </w:p>
        </w:tc>
        <w:tc>
          <w:tcPr>
            <w:tcW w:w="1393" w:type="dxa"/>
            <w:tcBorders>
              <w:top w:val="nil"/>
              <w:left w:val="nil"/>
              <w:bottom w:val="nil"/>
              <w:right w:val="nil"/>
            </w:tcBorders>
            <w:shd w:val="clear" w:color="auto" w:fill="auto"/>
            <w:noWrap/>
            <w:vAlign w:val="bottom"/>
          </w:tcPr>
          <w:p w14:paraId="6F6F5E30" w14:textId="7EB12BC7"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0.1274</w:t>
            </w:r>
          </w:p>
        </w:tc>
        <w:tc>
          <w:tcPr>
            <w:tcW w:w="1867" w:type="dxa"/>
            <w:tcBorders>
              <w:top w:val="nil"/>
              <w:left w:val="nil"/>
              <w:bottom w:val="nil"/>
              <w:right w:val="nil"/>
            </w:tcBorders>
            <w:shd w:val="clear" w:color="auto" w:fill="auto"/>
            <w:noWrap/>
            <w:vAlign w:val="bottom"/>
          </w:tcPr>
          <w:p w14:paraId="1E7D55EB" w14:textId="6DE96B59"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0.0231</w:t>
            </w:r>
          </w:p>
        </w:tc>
        <w:tc>
          <w:tcPr>
            <w:tcW w:w="1396" w:type="dxa"/>
            <w:tcBorders>
              <w:top w:val="nil"/>
              <w:left w:val="nil"/>
              <w:bottom w:val="nil"/>
              <w:right w:val="nil"/>
            </w:tcBorders>
            <w:shd w:val="clear" w:color="auto" w:fill="auto"/>
            <w:vAlign w:val="bottom"/>
          </w:tcPr>
          <w:p w14:paraId="4955E339" w14:textId="2EC8317D"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0.1072</w:t>
            </w:r>
          </w:p>
        </w:tc>
        <w:tc>
          <w:tcPr>
            <w:tcW w:w="1619" w:type="dxa"/>
            <w:tcBorders>
              <w:top w:val="nil"/>
              <w:left w:val="nil"/>
              <w:bottom w:val="nil"/>
              <w:right w:val="single" w:sz="4" w:space="0" w:color="auto"/>
            </w:tcBorders>
            <w:shd w:val="clear" w:color="auto" w:fill="auto"/>
            <w:noWrap/>
            <w:vAlign w:val="bottom"/>
          </w:tcPr>
          <w:p w14:paraId="7EFAED27" w14:textId="511F6180"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-0.0489***</w:t>
            </w:r>
          </w:p>
        </w:tc>
        <w:tc>
          <w:tcPr>
            <w:tcW w:w="1737" w:type="dxa"/>
            <w:tcBorders>
              <w:top w:val="nil"/>
              <w:left w:val="single" w:sz="4" w:space="0" w:color="auto"/>
              <w:bottom w:val="nil"/>
              <w:right w:val="nil"/>
            </w:tcBorders>
            <w:shd w:val="clear" w:color="auto" w:fill="auto"/>
            <w:vAlign w:val="bottom"/>
          </w:tcPr>
          <w:p w14:paraId="7B68DD23" w14:textId="53865F44" w:rsidR="00D87B08" w:rsidRPr="00896F46" w:rsidRDefault="005D480E"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w:t>
            </w:r>
            <w:r>
              <w:rPr>
                <w:rFonts w:ascii="Times New Roman" w:hAnsi="Times New Roman" w:cs="Times New Roman"/>
                <w:color w:val="000000"/>
                <w:sz w:val="20"/>
                <w:szCs w:val="20"/>
              </w:rPr>
              <w:t>1398***</w:t>
            </w:r>
          </w:p>
        </w:tc>
        <w:tc>
          <w:tcPr>
            <w:tcW w:w="1924" w:type="dxa"/>
            <w:tcBorders>
              <w:top w:val="nil"/>
              <w:left w:val="nil"/>
              <w:bottom w:val="nil"/>
              <w:right w:val="nil"/>
            </w:tcBorders>
            <w:shd w:val="clear" w:color="auto" w:fill="auto"/>
            <w:vAlign w:val="bottom"/>
          </w:tcPr>
          <w:p w14:paraId="00F87E2E" w14:textId="706B377D" w:rsidR="00D87B08" w:rsidRPr="00896F46" w:rsidRDefault="00327358" w:rsidP="00D87B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87B08" w:rsidRPr="001578CB">
              <w:rPr>
                <w:rFonts w:ascii="Times New Roman" w:hAnsi="Times New Roman" w:cs="Times New Roman"/>
                <w:color w:val="000000"/>
                <w:sz w:val="20"/>
                <w:szCs w:val="20"/>
              </w:rPr>
              <w:t>0.0</w:t>
            </w:r>
            <w:r w:rsidR="00420445">
              <w:rPr>
                <w:rFonts w:ascii="Times New Roman" w:hAnsi="Times New Roman" w:cs="Times New Roman"/>
                <w:color w:val="000000"/>
                <w:sz w:val="20"/>
                <w:szCs w:val="20"/>
              </w:rPr>
              <w:t>124**</w:t>
            </w:r>
          </w:p>
        </w:tc>
      </w:tr>
      <w:tr w:rsidR="00D87B08" w:rsidRPr="00896F46" w14:paraId="32F18BF1" w14:textId="77777777" w:rsidTr="001578CB">
        <w:trPr>
          <w:trHeight w:val="113"/>
        </w:trPr>
        <w:tc>
          <w:tcPr>
            <w:tcW w:w="4037" w:type="dxa"/>
            <w:tcBorders>
              <w:top w:val="nil"/>
              <w:left w:val="nil"/>
              <w:bottom w:val="nil"/>
              <w:right w:val="nil"/>
            </w:tcBorders>
            <w:shd w:val="clear" w:color="auto" w:fill="auto"/>
            <w:noWrap/>
            <w:vAlign w:val="bottom"/>
          </w:tcPr>
          <w:p w14:paraId="14E5DD79" w14:textId="77777777" w:rsidR="00D87B08" w:rsidRPr="00896F46" w:rsidRDefault="00D87B08" w:rsidP="00D87B08">
            <w:pPr>
              <w:spacing w:after="0" w:line="240" w:lineRule="auto"/>
              <w:rPr>
                <w:rFonts w:ascii="Times New Roman" w:eastAsia="Times New Roman" w:hAnsi="Times New Roman" w:cs="Times New Roman"/>
                <w:sz w:val="20"/>
                <w:szCs w:val="20"/>
                <w:lang w:eastAsia="en-NZ"/>
              </w:rPr>
            </w:pPr>
          </w:p>
        </w:tc>
        <w:tc>
          <w:tcPr>
            <w:tcW w:w="1393" w:type="dxa"/>
            <w:tcBorders>
              <w:top w:val="nil"/>
              <w:left w:val="nil"/>
              <w:bottom w:val="nil"/>
              <w:right w:val="nil"/>
            </w:tcBorders>
            <w:shd w:val="clear" w:color="auto" w:fill="auto"/>
            <w:noWrap/>
            <w:vAlign w:val="bottom"/>
          </w:tcPr>
          <w:p w14:paraId="516E362F" w14:textId="4A5104D2"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(1.1244)</w:t>
            </w:r>
          </w:p>
        </w:tc>
        <w:tc>
          <w:tcPr>
            <w:tcW w:w="1867" w:type="dxa"/>
            <w:tcBorders>
              <w:top w:val="nil"/>
              <w:left w:val="nil"/>
              <w:bottom w:val="nil"/>
              <w:right w:val="nil"/>
            </w:tcBorders>
            <w:shd w:val="clear" w:color="auto" w:fill="auto"/>
            <w:noWrap/>
            <w:vAlign w:val="bottom"/>
          </w:tcPr>
          <w:p w14:paraId="0C219101" w14:textId="2132DB69" w:rsidR="00D87B08" w:rsidRPr="00896F46" w:rsidRDefault="00D87B08" w:rsidP="00D87B08">
            <w:pPr>
              <w:spacing w:after="0" w:line="240" w:lineRule="auto"/>
              <w:jc w:val="center"/>
              <w:rPr>
                <w:rFonts w:ascii="Times New Roman" w:eastAsia="Times New Roman" w:hAnsi="Times New Roman" w:cs="Times New Roman"/>
                <w:sz w:val="20"/>
                <w:szCs w:val="20"/>
                <w:lang w:eastAsia="en-NZ"/>
              </w:rPr>
            </w:pPr>
            <w:r w:rsidRPr="001578CB">
              <w:rPr>
                <w:rFonts w:ascii="Times New Roman" w:hAnsi="Times New Roman" w:cs="Times New Roman"/>
                <w:color w:val="000000"/>
                <w:sz w:val="20"/>
                <w:szCs w:val="20"/>
              </w:rPr>
              <w:t>(1.1188)</w:t>
            </w:r>
          </w:p>
        </w:tc>
        <w:tc>
          <w:tcPr>
            <w:tcW w:w="1396" w:type="dxa"/>
            <w:tcBorders>
              <w:top w:val="nil"/>
              <w:left w:val="nil"/>
              <w:bottom w:val="nil"/>
              <w:right w:val="nil"/>
            </w:tcBorders>
            <w:shd w:val="clear" w:color="auto" w:fill="auto"/>
            <w:vAlign w:val="bottom"/>
          </w:tcPr>
          <w:p w14:paraId="7EC4845D" w14:textId="37180CEF"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(0.9177)</w:t>
            </w:r>
          </w:p>
        </w:tc>
        <w:tc>
          <w:tcPr>
            <w:tcW w:w="1619" w:type="dxa"/>
            <w:tcBorders>
              <w:top w:val="nil"/>
              <w:left w:val="nil"/>
              <w:bottom w:val="nil"/>
              <w:right w:val="single" w:sz="4" w:space="0" w:color="auto"/>
            </w:tcBorders>
            <w:shd w:val="clear" w:color="auto" w:fill="auto"/>
            <w:noWrap/>
            <w:vAlign w:val="bottom"/>
          </w:tcPr>
          <w:p w14:paraId="5416DC0B" w14:textId="30B4F2BC"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(-2.6459)</w:t>
            </w:r>
          </w:p>
        </w:tc>
        <w:tc>
          <w:tcPr>
            <w:tcW w:w="1737" w:type="dxa"/>
            <w:tcBorders>
              <w:top w:val="nil"/>
              <w:left w:val="single" w:sz="4" w:space="0" w:color="auto"/>
              <w:bottom w:val="nil"/>
              <w:right w:val="nil"/>
            </w:tcBorders>
            <w:shd w:val="clear" w:color="auto" w:fill="auto"/>
            <w:vAlign w:val="bottom"/>
          </w:tcPr>
          <w:p w14:paraId="0C04805E" w14:textId="4E04EFEA"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5D480E">
              <w:rPr>
                <w:rFonts w:ascii="Times New Roman" w:hAnsi="Times New Roman" w:cs="Times New Roman"/>
                <w:color w:val="000000"/>
                <w:sz w:val="20"/>
                <w:szCs w:val="20"/>
              </w:rPr>
              <w:t>-</w:t>
            </w:r>
            <w:r w:rsidR="00327358">
              <w:rPr>
                <w:rFonts w:ascii="Times New Roman" w:hAnsi="Times New Roman" w:cs="Times New Roman"/>
                <w:color w:val="000000"/>
                <w:sz w:val="20"/>
                <w:szCs w:val="20"/>
              </w:rPr>
              <w:t>4.6316</w:t>
            </w:r>
            <w:r w:rsidRPr="001578CB">
              <w:rPr>
                <w:rFonts w:ascii="Times New Roman" w:hAnsi="Times New Roman" w:cs="Times New Roman"/>
                <w:color w:val="000000"/>
                <w:sz w:val="20"/>
                <w:szCs w:val="20"/>
              </w:rPr>
              <w:t>)</w:t>
            </w:r>
          </w:p>
        </w:tc>
        <w:tc>
          <w:tcPr>
            <w:tcW w:w="1924" w:type="dxa"/>
            <w:tcBorders>
              <w:top w:val="nil"/>
              <w:left w:val="nil"/>
              <w:bottom w:val="nil"/>
              <w:right w:val="nil"/>
            </w:tcBorders>
            <w:shd w:val="clear" w:color="auto" w:fill="auto"/>
            <w:vAlign w:val="bottom"/>
          </w:tcPr>
          <w:p w14:paraId="23BD5EFB" w14:textId="4ECC20E3" w:rsidR="00D87B08" w:rsidRPr="00896F46" w:rsidRDefault="00D87B08" w:rsidP="00D87B08">
            <w:pPr>
              <w:spacing w:after="0" w:line="240" w:lineRule="auto"/>
              <w:jc w:val="center"/>
              <w:rPr>
                <w:rFonts w:ascii="Times New Roman" w:hAnsi="Times New Roman" w:cs="Times New Roman"/>
                <w:color w:val="000000"/>
                <w:sz w:val="20"/>
                <w:szCs w:val="20"/>
              </w:rPr>
            </w:pPr>
            <w:r w:rsidRPr="001578CB">
              <w:rPr>
                <w:rFonts w:ascii="Times New Roman" w:hAnsi="Times New Roman" w:cs="Times New Roman"/>
                <w:color w:val="000000"/>
                <w:sz w:val="20"/>
                <w:szCs w:val="20"/>
              </w:rPr>
              <w:t>(</w:t>
            </w:r>
            <w:r w:rsidR="00327358">
              <w:rPr>
                <w:rFonts w:ascii="Times New Roman" w:hAnsi="Times New Roman" w:cs="Times New Roman"/>
                <w:color w:val="000000"/>
                <w:sz w:val="20"/>
                <w:szCs w:val="20"/>
              </w:rPr>
              <w:t>-</w:t>
            </w:r>
            <w:r w:rsidR="00420445">
              <w:rPr>
                <w:rFonts w:ascii="Times New Roman" w:hAnsi="Times New Roman" w:cs="Times New Roman"/>
                <w:color w:val="000000"/>
                <w:sz w:val="20"/>
                <w:szCs w:val="20"/>
              </w:rPr>
              <w:t>2.03</w:t>
            </w:r>
            <w:r w:rsidR="00D549DD">
              <w:rPr>
                <w:rFonts w:ascii="Times New Roman" w:hAnsi="Times New Roman" w:cs="Times New Roman"/>
                <w:color w:val="000000"/>
                <w:sz w:val="20"/>
                <w:szCs w:val="20"/>
              </w:rPr>
              <w:t>53</w:t>
            </w:r>
            <w:r w:rsidRPr="001578CB">
              <w:rPr>
                <w:rFonts w:ascii="Times New Roman" w:hAnsi="Times New Roman" w:cs="Times New Roman"/>
                <w:color w:val="000000"/>
                <w:sz w:val="20"/>
                <w:szCs w:val="20"/>
              </w:rPr>
              <w:t>)</w:t>
            </w:r>
          </w:p>
        </w:tc>
      </w:tr>
      <w:tr w:rsidR="0053668D" w:rsidRPr="00896F46" w14:paraId="245C2066" w14:textId="77777777" w:rsidTr="001578CB">
        <w:trPr>
          <w:trHeight w:val="113"/>
        </w:trPr>
        <w:tc>
          <w:tcPr>
            <w:tcW w:w="4037" w:type="dxa"/>
            <w:tcBorders>
              <w:top w:val="nil"/>
              <w:left w:val="nil"/>
              <w:bottom w:val="nil"/>
              <w:right w:val="nil"/>
            </w:tcBorders>
            <w:shd w:val="clear" w:color="auto" w:fill="auto"/>
            <w:noWrap/>
            <w:vAlign w:val="bottom"/>
          </w:tcPr>
          <w:p w14:paraId="18FBFCDB" w14:textId="77777777" w:rsidR="00C157E2" w:rsidRPr="00896F46" w:rsidRDefault="00C157E2" w:rsidP="000D5A47">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Controls</w:t>
            </w:r>
          </w:p>
        </w:tc>
        <w:tc>
          <w:tcPr>
            <w:tcW w:w="1393" w:type="dxa"/>
            <w:tcBorders>
              <w:top w:val="nil"/>
              <w:left w:val="nil"/>
              <w:bottom w:val="nil"/>
              <w:right w:val="nil"/>
            </w:tcBorders>
            <w:shd w:val="clear" w:color="auto" w:fill="auto"/>
            <w:noWrap/>
          </w:tcPr>
          <w:p w14:paraId="16201FB9"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867" w:type="dxa"/>
            <w:tcBorders>
              <w:top w:val="nil"/>
              <w:left w:val="nil"/>
              <w:bottom w:val="nil"/>
              <w:right w:val="nil"/>
            </w:tcBorders>
            <w:shd w:val="clear" w:color="auto" w:fill="auto"/>
          </w:tcPr>
          <w:p w14:paraId="696DBE97"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396" w:type="dxa"/>
            <w:tcBorders>
              <w:top w:val="nil"/>
              <w:left w:val="nil"/>
              <w:bottom w:val="nil"/>
              <w:right w:val="nil"/>
            </w:tcBorders>
          </w:tcPr>
          <w:p w14:paraId="3235A483" w14:textId="77777777" w:rsidR="00C157E2" w:rsidRPr="00896F46" w:rsidRDefault="00C157E2" w:rsidP="000D5A47">
            <w:pPr>
              <w:spacing w:after="0" w:line="240" w:lineRule="auto"/>
              <w:jc w:val="center"/>
              <w:rPr>
                <w:rFonts w:ascii="Times New Roman" w:hAnsi="Times New Roman" w:cs="Times New Roman"/>
                <w:color w:val="000000"/>
                <w:sz w:val="20"/>
                <w:szCs w:val="20"/>
              </w:rPr>
            </w:pPr>
          </w:p>
        </w:tc>
        <w:tc>
          <w:tcPr>
            <w:tcW w:w="1619" w:type="dxa"/>
            <w:tcBorders>
              <w:top w:val="nil"/>
              <w:left w:val="nil"/>
              <w:bottom w:val="nil"/>
              <w:right w:val="single" w:sz="4" w:space="0" w:color="auto"/>
            </w:tcBorders>
            <w:shd w:val="clear" w:color="auto" w:fill="auto"/>
            <w:noWrap/>
          </w:tcPr>
          <w:p w14:paraId="4EF50084" w14:textId="77777777" w:rsidR="00C157E2" w:rsidRPr="00896F46" w:rsidRDefault="00C157E2" w:rsidP="000D5A47">
            <w:pPr>
              <w:spacing w:after="0" w:line="240" w:lineRule="auto"/>
              <w:jc w:val="center"/>
              <w:rPr>
                <w:rFonts w:ascii="Times New Roman" w:hAnsi="Times New Roman" w:cs="Times New Roman"/>
                <w:color w:val="000000"/>
                <w:sz w:val="20"/>
                <w:szCs w:val="20"/>
              </w:rPr>
            </w:pPr>
            <w:r w:rsidRPr="00896F46">
              <w:rPr>
                <w:rFonts w:ascii="Times New Roman" w:eastAsia="Times New Roman" w:hAnsi="Times New Roman" w:cs="Times New Roman"/>
                <w:sz w:val="20"/>
                <w:szCs w:val="20"/>
                <w:lang w:eastAsia="en-NZ"/>
              </w:rPr>
              <w:t>Yes</w:t>
            </w:r>
          </w:p>
        </w:tc>
        <w:tc>
          <w:tcPr>
            <w:tcW w:w="1737" w:type="dxa"/>
            <w:tcBorders>
              <w:top w:val="nil"/>
              <w:left w:val="single" w:sz="4" w:space="0" w:color="auto"/>
              <w:bottom w:val="nil"/>
              <w:right w:val="nil"/>
            </w:tcBorders>
            <w:shd w:val="clear" w:color="auto" w:fill="auto"/>
          </w:tcPr>
          <w:p w14:paraId="2821BA5F" w14:textId="77777777" w:rsidR="00C157E2" w:rsidRPr="00896F46" w:rsidRDefault="00C157E2" w:rsidP="000D5A47">
            <w:pPr>
              <w:spacing w:after="0" w:line="240" w:lineRule="auto"/>
              <w:jc w:val="center"/>
              <w:rPr>
                <w:rFonts w:ascii="Times New Roman" w:hAnsi="Times New Roman" w:cs="Times New Roman"/>
                <w:color w:val="000000"/>
                <w:sz w:val="20"/>
                <w:szCs w:val="20"/>
              </w:rPr>
            </w:pPr>
            <w:r w:rsidRPr="00896F46">
              <w:rPr>
                <w:rFonts w:ascii="Times New Roman" w:eastAsia="Times New Roman" w:hAnsi="Times New Roman" w:cs="Times New Roman"/>
                <w:sz w:val="20"/>
                <w:szCs w:val="20"/>
                <w:lang w:eastAsia="en-NZ"/>
              </w:rPr>
              <w:t>Yes</w:t>
            </w:r>
          </w:p>
        </w:tc>
        <w:tc>
          <w:tcPr>
            <w:tcW w:w="1924" w:type="dxa"/>
            <w:tcBorders>
              <w:top w:val="nil"/>
              <w:left w:val="nil"/>
              <w:bottom w:val="nil"/>
              <w:right w:val="nil"/>
            </w:tcBorders>
          </w:tcPr>
          <w:p w14:paraId="30F79000" w14:textId="77777777" w:rsidR="00C157E2" w:rsidRPr="00896F46" w:rsidRDefault="00C157E2" w:rsidP="000D5A47">
            <w:pPr>
              <w:spacing w:after="0" w:line="240" w:lineRule="auto"/>
              <w:jc w:val="center"/>
              <w:rPr>
                <w:rFonts w:ascii="Times New Roman" w:hAnsi="Times New Roman" w:cs="Times New Roman"/>
                <w:color w:val="000000"/>
                <w:sz w:val="20"/>
                <w:szCs w:val="20"/>
              </w:rPr>
            </w:pPr>
          </w:p>
        </w:tc>
      </w:tr>
      <w:tr w:rsidR="0053668D" w:rsidRPr="00896F46" w14:paraId="6399AF50" w14:textId="77777777" w:rsidTr="001578CB">
        <w:trPr>
          <w:trHeight w:val="113"/>
        </w:trPr>
        <w:tc>
          <w:tcPr>
            <w:tcW w:w="4037" w:type="dxa"/>
            <w:tcBorders>
              <w:top w:val="nil"/>
              <w:left w:val="nil"/>
              <w:bottom w:val="nil"/>
              <w:right w:val="nil"/>
            </w:tcBorders>
            <w:shd w:val="clear" w:color="auto" w:fill="auto"/>
            <w:noWrap/>
            <w:vAlign w:val="bottom"/>
            <w:hideMark/>
          </w:tcPr>
          <w:p w14:paraId="7D53BF12" w14:textId="77777777" w:rsidR="00C157E2" w:rsidRPr="00896F46" w:rsidRDefault="00C157E2" w:rsidP="000D5A47">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Industry FE</w:t>
            </w:r>
          </w:p>
        </w:tc>
        <w:tc>
          <w:tcPr>
            <w:tcW w:w="1393" w:type="dxa"/>
            <w:tcBorders>
              <w:top w:val="nil"/>
              <w:left w:val="nil"/>
              <w:bottom w:val="nil"/>
              <w:right w:val="nil"/>
            </w:tcBorders>
            <w:shd w:val="clear" w:color="auto" w:fill="auto"/>
            <w:noWrap/>
            <w:vAlign w:val="bottom"/>
            <w:hideMark/>
          </w:tcPr>
          <w:p w14:paraId="10D60376"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867" w:type="dxa"/>
            <w:tcBorders>
              <w:top w:val="nil"/>
              <w:left w:val="nil"/>
              <w:bottom w:val="nil"/>
              <w:right w:val="nil"/>
            </w:tcBorders>
            <w:shd w:val="clear" w:color="auto" w:fill="auto"/>
            <w:noWrap/>
            <w:vAlign w:val="bottom"/>
            <w:hideMark/>
          </w:tcPr>
          <w:p w14:paraId="7D4F8B53"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396" w:type="dxa"/>
            <w:tcBorders>
              <w:top w:val="nil"/>
              <w:left w:val="nil"/>
              <w:bottom w:val="nil"/>
              <w:right w:val="nil"/>
            </w:tcBorders>
          </w:tcPr>
          <w:p w14:paraId="6FA0D79A"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p>
        </w:tc>
        <w:tc>
          <w:tcPr>
            <w:tcW w:w="1619" w:type="dxa"/>
            <w:tcBorders>
              <w:top w:val="nil"/>
              <w:left w:val="nil"/>
              <w:bottom w:val="nil"/>
              <w:right w:val="single" w:sz="4" w:space="0" w:color="auto"/>
            </w:tcBorders>
            <w:shd w:val="clear" w:color="auto" w:fill="auto"/>
            <w:noWrap/>
            <w:vAlign w:val="bottom"/>
            <w:hideMark/>
          </w:tcPr>
          <w:p w14:paraId="087C10E1"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737" w:type="dxa"/>
            <w:tcBorders>
              <w:top w:val="nil"/>
              <w:left w:val="single" w:sz="4" w:space="0" w:color="auto"/>
              <w:bottom w:val="nil"/>
              <w:right w:val="nil"/>
            </w:tcBorders>
            <w:vAlign w:val="bottom"/>
          </w:tcPr>
          <w:p w14:paraId="1AA04ACD"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924" w:type="dxa"/>
            <w:tcBorders>
              <w:top w:val="nil"/>
              <w:left w:val="nil"/>
              <w:bottom w:val="nil"/>
              <w:right w:val="nil"/>
            </w:tcBorders>
          </w:tcPr>
          <w:p w14:paraId="126263C1"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p>
        </w:tc>
      </w:tr>
      <w:tr w:rsidR="0053668D" w:rsidRPr="00896F46" w14:paraId="5B581D10" w14:textId="77777777" w:rsidTr="001578CB">
        <w:trPr>
          <w:trHeight w:val="113"/>
        </w:trPr>
        <w:tc>
          <w:tcPr>
            <w:tcW w:w="4037" w:type="dxa"/>
            <w:tcBorders>
              <w:top w:val="nil"/>
              <w:left w:val="nil"/>
              <w:bottom w:val="nil"/>
              <w:right w:val="nil"/>
            </w:tcBorders>
            <w:shd w:val="clear" w:color="auto" w:fill="auto"/>
            <w:noWrap/>
            <w:vAlign w:val="bottom"/>
            <w:hideMark/>
          </w:tcPr>
          <w:p w14:paraId="4399194B" w14:textId="77777777" w:rsidR="00C157E2" w:rsidRPr="00896F46" w:rsidRDefault="00C157E2" w:rsidP="000D5A47">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Year FE</w:t>
            </w:r>
          </w:p>
        </w:tc>
        <w:tc>
          <w:tcPr>
            <w:tcW w:w="1393" w:type="dxa"/>
            <w:tcBorders>
              <w:top w:val="nil"/>
              <w:left w:val="nil"/>
              <w:bottom w:val="nil"/>
              <w:right w:val="nil"/>
            </w:tcBorders>
            <w:shd w:val="clear" w:color="auto" w:fill="auto"/>
            <w:noWrap/>
            <w:vAlign w:val="bottom"/>
            <w:hideMark/>
          </w:tcPr>
          <w:p w14:paraId="636C1FCC"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867" w:type="dxa"/>
            <w:tcBorders>
              <w:top w:val="nil"/>
              <w:left w:val="nil"/>
              <w:bottom w:val="nil"/>
              <w:right w:val="nil"/>
            </w:tcBorders>
            <w:shd w:val="clear" w:color="auto" w:fill="auto"/>
            <w:noWrap/>
            <w:vAlign w:val="bottom"/>
            <w:hideMark/>
          </w:tcPr>
          <w:p w14:paraId="460CAEE0"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396" w:type="dxa"/>
            <w:tcBorders>
              <w:top w:val="nil"/>
              <w:left w:val="nil"/>
              <w:bottom w:val="nil"/>
              <w:right w:val="nil"/>
            </w:tcBorders>
          </w:tcPr>
          <w:p w14:paraId="6F9D9213"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p>
        </w:tc>
        <w:tc>
          <w:tcPr>
            <w:tcW w:w="1619" w:type="dxa"/>
            <w:tcBorders>
              <w:top w:val="nil"/>
              <w:left w:val="nil"/>
              <w:bottom w:val="nil"/>
              <w:right w:val="single" w:sz="4" w:space="0" w:color="auto"/>
            </w:tcBorders>
            <w:shd w:val="clear" w:color="auto" w:fill="auto"/>
            <w:noWrap/>
            <w:vAlign w:val="bottom"/>
            <w:hideMark/>
          </w:tcPr>
          <w:p w14:paraId="0AF9E6C8"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737" w:type="dxa"/>
            <w:tcBorders>
              <w:top w:val="nil"/>
              <w:left w:val="single" w:sz="4" w:space="0" w:color="auto"/>
              <w:bottom w:val="nil"/>
              <w:right w:val="nil"/>
            </w:tcBorders>
            <w:vAlign w:val="bottom"/>
          </w:tcPr>
          <w:p w14:paraId="30172E25"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Yes</w:t>
            </w:r>
          </w:p>
        </w:tc>
        <w:tc>
          <w:tcPr>
            <w:tcW w:w="1924" w:type="dxa"/>
            <w:tcBorders>
              <w:top w:val="nil"/>
              <w:left w:val="nil"/>
              <w:bottom w:val="nil"/>
              <w:right w:val="nil"/>
            </w:tcBorders>
          </w:tcPr>
          <w:p w14:paraId="045210B8"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p>
        </w:tc>
      </w:tr>
      <w:tr w:rsidR="001578CB" w:rsidRPr="00896F46" w14:paraId="7470C7CC" w14:textId="77777777" w:rsidTr="001578CB">
        <w:trPr>
          <w:trHeight w:val="113"/>
        </w:trPr>
        <w:tc>
          <w:tcPr>
            <w:tcW w:w="4037" w:type="dxa"/>
            <w:tcBorders>
              <w:top w:val="nil"/>
              <w:left w:val="nil"/>
              <w:bottom w:val="nil"/>
              <w:right w:val="nil"/>
            </w:tcBorders>
            <w:shd w:val="clear" w:color="auto" w:fill="auto"/>
            <w:noWrap/>
            <w:vAlign w:val="bottom"/>
            <w:hideMark/>
          </w:tcPr>
          <w:p w14:paraId="5E5FCDD2" w14:textId="77777777" w:rsidR="00C157E2" w:rsidRPr="00896F46" w:rsidRDefault="00C157E2" w:rsidP="000D5A47">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Observations</w:t>
            </w:r>
          </w:p>
        </w:tc>
        <w:tc>
          <w:tcPr>
            <w:tcW w:w="1393" w:type="dxa"/>
            <w:tcBorders>
              <w:top w:val="nil"/>
              <w:left w:val="nil"/>
              <w:bottom w:val="nil"/>
              <w:right w:val="nil"/>
            </w:tcBorders>
            <w:shd w:val="clear" w:color="auto" w:fill="auto"/>
            <w:noWrap/>
            <w:hideMark/>
          </w:tcPr>
          <w:p w14:paraId="1C67D76B"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color w:val="000000"/>
                <w:sz w:val="20"/>
                <w:szCs w:val="20"/>
                <w:lang w:eastAsia="en-NZ"/>
              </w:rPr>
              <w:t>11,764</w:t>
            </w:r>
          </w:p>
        </w:tc>
        <w:tc>
          <w:tcPr>
            <w:tcW w:w="1867" w:type="dxa"/>
            <w:tcBorders>
              <w:top w:val="nil"/>
              <w:left w:val="nil"/>
              <w:bottom w:val="nil"/>
              <w:right w:val="nil"/>
            </w:tcBorders>
            <w:shd w:val="clear" w:color="auto" w:fill="auto"/>
            <w:noWrap/>
            <w:hideMark/>
          </w:tcPr>
          <w:p w14:paraId="56BFED73"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color w:val="000000"/>
                <w:sz w:val="20"/>
                <w:szCs w:val="20"/>
                <w:lang w:eastAsia="en-NZ"/>
              </w:rPr>
              <w:t>11,764</w:t>
            </w:r>
          </w:p>
        </w:tc>
        <w:tc>
          <w:tcPr>
            <w:tcW w:w="1396" w:type="dxa"/>
            <w:tcBorders>
              <w:top w:val="nil"/>
              <w:left w:val="nil"/>
              <w:bottom w:val="nil"/>
              <w:right w:val="nil"/>
            </w:tcBorders>
          </w:tcPr>
          <w:p w14:paraId="1C053CDB"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color w:val="000000"/>
                <w:sz w:val="20"/>
                <w:szCs w:val="20"/>
                <w:lang w:eastAsia="en-NZ"/>
              </w:rPr>
              <w:t>11,764</w:t>
            </w:r>
          </w:p>
        </w:tc>
        <w:tc>
          <w:tcPr>
            <w:tcW w:w="1619" w:type="dxa"/>
            <w:tcBorders>
              <w:top w:val="nil"/>
              <w:left w:val="nil"/>
              <w:right w:val="single" w:sz="4" w:space="0" w:color="auto"/>
            </w:tcBorders>
            <w:shd w:val="clear" w:color="auto" w:fill="auto"/>
            <w:noWrap/>
            <w:hideMark/>
          </w:tcPr>
          <w:p w14:paraId="0FFC5C80"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color w:val="000000"/>
                <w:sz w:val="20"/>
                <w:szCs w:val="20"/>
                <w:lang w:eastAsia="en-NZ"/>
              </w:rPr>
              <w:t>11,764</w:t>
            </w:r>
          </w:p>
        </w:tc>
        <w:tc>
          <w:tcPr>
            <w:tcW w:w="1737" w:type="dxa"/>
            <w:tcBorders>
              <w:top w:val="nil"/>
              <w:left w:val="single" w:sz="4" w:space="0" w:color="auto"/>
              <w:bottom w:val="nil"/>
              <w:right w:val="nil"/>
            </w:tcBorders>
          </w:tcPr>
          <w:p w14:paraId="5F756427"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color w:val="000000"/>
                <w:sz w:val="20"/>
                <w:szCs w:val="20"/>
                <w:lang w:eastAsia="en-NZ"/>
              </w:rPr>
              <w:t>11,764</w:t>
            </w:r>
          </w:p>
        </w:tc>
        <w:tc>
          <w:tcPr>
            <w:tcW w:w="1924" w:type="dxa"/>
            <w:tcBorders>
              <w:top w:val="nil"/>
              <w:left w:val="nil"/>
              <w:bottom w:val="nil"/>
              <w:right w:val="nil"/>
            </w:tcBorders>
          </w:tcPr>
          <w:p w14:paraId="35901B36" w14:textId="77777777" w:rsidR="00C157E2" w:rsidRPr="00896F46" w:rsidRDefault="00C157E2" w:rsidP="000D5A47">
            <w:pPr>
              <w:spacing w:after="0" w:line="240" w:lineRule="auto"/>
              <w:jc w:val="center"/>
              <w:rPr>
                <w:rFonts w:ascii="Times New Roman" w:eastAsia="Times New Roman" w:hAnsi="Times New Roman" w:cs="Times New Roman"/>
                <w:sz w:val="20"/>
                <w:szCs w:val="20"/>
                <w:lang w:eastAsia="en-NZ"/>
              </w:rPr>
            </w:pPr>
            <w:r w:rsidRPr="00896F46">
              <w:rPr>
                <w:rFonts w:ascii="Times New Roman" w:eastAsia="Times New Roman" w:hAnsi="Times New Roman" w:cs="Times New Roman"/>
                <w:color w:val="000000"/>
                <w:sz w:val="20"/>
                <w:szCs w:val="20"/>
                <w:lang w:eastAsia="en-NZ"/>
              </w:rPr>
              <w:t>11,764</w:t>
            </w:r>
          </w:p>
        </w:tc>
      </w:tr>
      <w:tr w:rsidR="005B2C3A" w:rsidRPr="00896F46" w14:paraId="0F6951CC" w14:textId="77777777" w:rsidTr="001578CB">
        <w:trPr>
          <w:trHeight w:val="113"/>
        </w:trPr>
        <w:tc>
          <w:tcPr>
            <w:tcW w:w="4037" w:type="dxa"/>
            <w:tcBorders>
              <w:top w:val="nil"/>
              <w:left w:val="nil"/>
              <w:bottom w:val="nil"/>
              <w:right w:val="nil"/>
            </w:tcBorders>
            <w:shd w:val="clear" w:color="auto" w:fill="auto"/>
            <w:noWrap/>
            <w:vAlign w:val="bottom"/>
          </w:tcPr>
          <w:p w14:paraId="1585ABDB" w14:textId="6D264BF7" w:rsidR="005B2C3A" w:rsidRPr="00896F46" w:rsidRDefault="005B2C3A" w:rsidP="005B2C3A">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Adj</w:t>
            </w:r>
            <w:r w:rsidR="00795B1F">
              <w:rPr>
                <w:rFonts w:ascii="Times New Roman" w:eastAsia="Times New Roman" w:hAnsi="Times New Roman" w:cs="Times New Roman"/>
                <w:sz w:val="20"/>
                <w:szCs w:val="20"/>
                <w:lang w:eastAsia="en-NZ"/>
              </w:rPr>
              <w:t>.</w:t>
            </w:r>
            <w:r w:rsidRPr="00896F46">
              <w:rPr>
                <w:rFonts w:ascii="Times New Roman" w:eastAsia="Times New Roman" w:hAnsi="Times New Roman" w:cs="Times New Roman"/>
                <w:sz w:val="20"/>
                <w:szCs w:val="20"/>
                <w:lang w:eastAsia="en-NZ"/>
              </w:rPr>
              <w:t xml:space="preserve"> R</w:t>
            </w:r>
            <w:r w:rsidRPr="001578CB">
              <w:rPr>
                <w:rFonts w:ascii="Times New Roman" w:eastAsia="Times New Roman" w:hAnsi="Times New Roman" w:cs="Times New Roman"/>
                <w:sz w:val="20"/>
                <w:szCs w:val="20"/>
                <w:vertAlign w:val="superscript"/>
                <w:lang w:eastAsia="en-NZ"/>
              </w:rPr>
              <w:t>2</w:t>
            </w:r>
            <w:r w:rsidRPr="00896F46">
              <w:rPr>
                <w:rFonts w:ascii="Times New Roman" w:eastAsia="Times New Roman" w:hAnsi="Times New Roman" w:cs="Times New Roman"/>
                <w:sz w:val="20"/>
                <w:szCs w:val="20"/>
                <w:vertAlign w:val="superscript"/>
                <w:lang w:eastAsia="en-NZ"/>
              </w:rPr>
              <w:t xml:space="preserve"> </w:t>
            </w:r>
            <w:r w:rsidRPr="00896F46">
              <w:rPr>
                <w:rFonts w:ascii="Times New Roman" w:eastAsia="Times New Roman" w:hAnsi="Times New Roman" w:cs="Times New Roman"/>
                <w:sz w:val="20"/>
                <w:szCs w:val="20"/>
                <w:lang w:eastAsia="en-NZ"/>
              </w:rPr>
              <w:t>(Centred R</w:t>
            </w:r>
            <w:r w:rsidRPr="00896F46">
              <w:rPr>
                <w:rFonts w:ascii="Times New Roman" w:eastAsia="Times New Roman" w:hAnsi="Times New Roman" w:cs="Times New Roman"/>
                <w:sz w:val="20"/>
                <w:szCs w:val="20"/>
                <w:vertAlign w:val="superscript"/>
                <w:lang w:eastAsia="en-NZ"/>
              </w:rPr>
              <w:t>2</w:t>
            </w:r>
            <w:r w:rsidRPr="00896F46">
              <w:rPr>
                <w:rFonts w:ascii="Times New Roman" w:eastAsia="Times New Roman" w:hAnsi="Times New Roman" w:cs="Times New Roman"/>
                <w:sz w:val="20"/>
                <w:szCs w:val="20"/>
                <w:lang w:eastAsia="en-NZ"/>
              </w:rPr>
              <w:t>)</w:t>
            </w:r>
          </w:p>
        </w:tc>
        <w:tc>
          <w:tcPr>
            <w:tcW w:w="1393" w:type="dxa"/>
            <w:tcBorders>
              <w:top w:val="nil"/>
              <w:left w:val="nil"/>
              <w:bottom w:val="nil"/>
              <w:right w:val="nil"/>
            </w:tcBorders>
            <w:shd w:val="clear" w:color="auto" w:fill="auto"/>
            <w:noWrap/>
            <w:vAlign w:val="bottom"/>
          </w:tcPr>
          <w:p w14:paraId="441EBD96" w14:textId="31CACD32"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0.0520</w:t>
            </w:r>
          </w:p>
        </w:tc>
        <w:tc>
          <w:tcPr>
            <w:tcW w:w="1867" w:type="dxa"/>
            <w:tcBorders>
              <w:top w:val="nil"/>
              <w:left w:val="nil"/>
              <w:bottom w:val="nil"/>
              <w:right w:val="nil"/>
            </w:tcBorders>
            <w:shd w:val="clear" w:color="auto" w:fill="auto"/>
            <w:noWrap/>
            <w:vAlign w:val="bottom"/>
          </w:tcPr>
          <w:p w14:paraId="6A5BF2D7" w14:textId="7D17D10F"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(0.2158)</w:t>
            </w:r>
          </w:p>
        </w:tc>
        <w:tc>
          <w:tcPr>
            <w:tcW w:w="1396" w:type="dxa"/>
            <w:tcBorders>
              <w:top w:val="nil"/>
              <w:left w:val="nil"/>
              <w:bottom w:val="nil"/>
              <w:right w:val="nil"/>
            </w:tcBorders>
            <w:shd w:val="clear" w:color="auto" w:fill="auto"/>
            <w:vAlign w:val="bottom"/>
          </w:tcPr>
          <w:p w14:paraId="648009A8" w14:textId="3768EF53"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0.0514</w:t>
            </w:r>
          </w:p>
        </w:tc>
        <w:tc>
          <w:tcPr>
            <w:tcW w:w="1619" w:type="dxa"/>
            <w:tcBorders>
              <w:top w:val="nil"/>
              <w:left w:val="nil"/>
              <w:bottom w:val="nil"/>
              <w:right w:val="single" w:sz="4" w:space="0" w:color="auto"/>
            </w:tcBorders>
            <w:shd w:val="clear" w:color="auto" w:fill="auto"/>
            <w:noWrap/>
            <w:vAlign w:val="bottom"/>
          </w:tcPr>
          <w:p w14:paraId="1EFF4CEC" w14:textId="6EA25911"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(0.2469)</w:t>
            </w:r>
          </w:p>
        </w:tc>
        <w:tc>
          <w:tcPr>
            <w:tcW w:w="1737" w:type="dxa"/>
            <w:tcBorders>
              <w:top w:val="nil"/>
              <w:left w:val="single" w:sz="4" w:space="0" w:color="auto"/>
              <w:bottom w:val="nil"/>
              <w:right w:val="nil"/>
            </w:tcBorders>
            <w:shd w:val="clear" w:color="auto" w:fill="auto"/>
            <w:vAlign w:val="bottom"/>
          </w:tcPr>
          <w:p w14:paraId="4336B9E0" w14:textId="5E5879FB"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0.28</w:t>
            </w:r>
            <w:r w:rsidR="0016149A">
              <w:rPr>
                <w:rFonts w:ascii="Times New Roman" w:hAnsi="Times New Roman" w:cs="Times New Roman"/>
                <w:color w:val="000000"/>
                <w:sz w:val="20"/>
                <w:szCs w:val="20"/>
              </w:rPr>
              <w:t>01</w:t>
            </w:r>
          </w:p>
        </w:tc>
        <w:tc>
          <w:tcPr>
            <w:tcW w:w="1924" w:type="dxa"/>
            <w:tcBorders>
              <w:top w:val="nil"/>
              <w:left w:val="nil"/>
              <w:bottom w:val="nil"/>
              <w:right w:val="nil"/>
            </w:tcBorders>
            <w:shd w:val="clear" w:color="auto" w:fill="auto"/>
            <w:vAlign w:val="bottom"/>
          </w:tcPr>
          <w:p w14:paraId="25858C6F" w14:textId="1BAB4992"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0.26</w:t>
            </w:r>
            <w:r w:rsidR="00D120F0">
              <w:rPr>
                <w:rFonts w:ascii="Times New Roman" w:hAnsi="Times New Roman" w:cs="Times New Roman"/>
                <w:color w:val="000000"/>
                <w:sz w:val="20"/>
                <w:szCs w:val="20"/>
              </w:rPr>
              <w:t>47</w:t>
            </w:r>
          </w:p>
        </w:tc>
      </w:tr>
      <w:tr w:rsidR="005B2C3A" w:rsidRPr="00896F46" w14:paraId="5F42087C" w14:textId="77777777" w:rsidTr="001578CB">
        <w:trPr>
          <w:trHeight w:val="113"/>
        </w:trPr>
        <w:tc>
          <w:tcPr>
            <w:tcW w:w="4037" w:type="dxa"/>
            <w:tcBorders>
              <w:top w:val="nil"/>
              <w:left w:val="nil"/>
              <w:bottom w:val="nil"/>
              <w:right w:val="nil"/>
            </w:tcBorders>
            <w:shd w:val="clear" w:color="auto" w:fill="auto"/>
            <w:noWrap/>
            <w:vAlign w:val="bottom"/>
          </w:tcPr>
          <w:p w14:paraId="49A16F77" w14:textId="60387E1F" w:rsidR="005B2C3A" w:rsidRPr="00896F46" w:rsidRDefault="005B2C3A" w:rsidP="005B2C3A">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Underidentification test:</w:t>
            </w:r>
          </w:p>
        </w:tc>
        <w:tc>
          <w:tcPr>
            <w:tcW w:w="1393" w:type="dxa"/>
            <w:tcBorders>
              <w:top w:val="nil"/>
              <w:left w:val="nil"/>
              <w:bottom w:val="nil"/>
              <w:right w:val="nil"/>
            </w:tcBorders>
            <w:shd w:val="clear" w:color="auto" w:fill="auto"/>
            <w:noWrap/>
          </w:tcPr>
          <w:p w14:paraId="513E17A6" w14:textId="77777777"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bottom w:val="nil"/>
              <w:right w:val="nil"/>
            </w:tcBorders>
            <w:shd w:val="clear" w:color="auto" w:fill="auto"/>
            <w:noWrap/>
          </w:tcPr>
          <w:p w14:paraId="561E18F7" w14:textId="77777777"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p>
        </w:tc>
        <w:tc>
          <w:tcPr>
            <w:tcW w:w="1396" w:type="dxa"/>
            <w:tcBorders>
              <w:top w:val="nil"/>
              <w:left w:val="nil"/>
              <w:bottom w:val="nil"/>
              <w:right w:val="nil"/>
            </w:tcBorders>
          </w:tcPr>
          <w:p w14:paraId="5BB09784" w14:textId="77777777"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bottom w:val="nil"/>
              <w:right w:val="single" w:sz="4" w:space="0" w:color="auto"/>
            </w:tcBorders>
            <w:shd w:val="clear" w:color="auto" w:fill="auto"/>
            <w:noWrap/>
          </w:tcPr>
          <w:p w14:paraId="20B1905A" w14:textId="77777777"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p>
        </w:tc>
        <w:tc>
          <w:tcPr>
            <w:tcW w:w="1737" w:type="dxa"/>
            <w:tcBorders>
              <w:top w:val="nil"/>
              <w:left w:val="single" w:sz="4" w:space="0" w:color="auto"/>
              <w:bottom w:val="nil"/>
              <w:right w:val="nil"/>
            </w:tcBorders>
          </w:tcPr>
          <w:p w14:paraId="56FB87AA" w14:textId="77777777"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p>
        </w:tc>
        <w:tc>
          <w:tcPr>
            <w:tcW w:w="1924" w:type="dxa"/>
            <w:tcBorders>
              <w:top w:val="nil"/>
              <w:left w:val="nil"/>
              <w:bottom w:val="nil"/>
              <w:right w:val="nil"/>
            </w:tcBorders>
          </w:tcPr>
          <w:p w14:paraId="0A905CBA" w14:textId="77777777" w:rsidR="005B2C3A" w:rsidRPr="00896F46" w:rsidRDefault="005B2C3A" w:rsidP="005B2C3A">
            <w:pPr>
              <w:spacing w:after="0" w:line="240" w:lineRule="auto"/>
              <w:jc w:val="center"/>
              <w:rPr>
                <w:rFonts w:ascii="Times New Roman" w:eastAsia="Times New Roman" w:hAnsi="Times New Roman" w:cs="Times New Roman"/>
                <w:color w:val="000000"/>
                <w:sz w:val="20"/>
                <w:szCs w:val="20"/>
                <w:lang w:eastAsia="en-NZ"/>
              </w:rPr>
            </w:pPr>
          </w:p>
        </w:tc>
      </w:tr>
      <w:tr w:rsidR="002E7B19" w:rsidRPr="00896F46" w14:paraId="6B190596" w14:textId="77777777" w:rsidTr="001578CB">
        <w:trPr>
          <w:trHeight w:val="113"/>
        </w:trPr>
        <w:tc>
          <w:tcPr>
            <w:tcW w:w="4037" w:type="dxa"/>
            <w:tcBorders>
              <w:top w:val="nil"/>
              <w:left w:val="nil"/>
              <w:bottom w:val="nil"/>
              <w:right w:val="nil"/>
            </w:tcBorders>
            <w:shd w:val="clear" w:color="auto" w:fill="auto"/>
            <w:noWrap/>
            <w:vAlign w:val="bottom"/>
          </w:tcPr>
          <w:p w14:paraId="1EE4F3F4" w14:textId="1461FCAA" w:rsidR="002E7B19" w:rsidRPr="00896F46" w:rsidRDefault="002E7B19" w:rsidP="002E7B19">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Kleibergen-Paap rk LM statistic</w:t>
            </w:r>
          </w:p>
        </w:tc>
        <w:tc>
          <w:tcPr>
            <w:tcW w:w="1393" w:type="dxa"/>
            <w:tcBorders>
              <w:top w:val="nil"/>
              <w:left w:val="nil"/>
              <w:bottom w:val="nil"/>
              <w:right w:val="nil"/>
            </w:tcBorders>
            <w:shd w:val="clear" w:color="auto" w:fill="auto"/>
            <w:noWrap/>
          </w:tcPr>
          <w:p w14:paraId="506F9E4C"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bottom w:val="nil"/>
              <w:right w:val="nil"/>
            </w:tcBorders>
            <w:shd w:val="clear" w:color="auto" w:fill="auto"/>
            <w:noWrap/>
            <w:vAlign w:val="bottom"/>
          </w:tcPr>
          <w:p w14:paraId="6518AE76" w14:textId="5C1D6171"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183.034</w:t>
            </w:r>
          </w:p>
        </w:tc>
        <w:tc>
          <w:tcPr>
            <w:tcW w:w="1396" w:type="dxa"/>
            <w:tcBorders>
              <w:top w:val="nil"/>
              <w:left w:val="nil"/>
              <w:bottom w:val="nil"/>
              <w:right w:val="nil"/>
            </w:tcBorders>
            <w:shd w:val="clear" w:color="auto" w:fill="auto"/>
            <w:vAlign w:val="bottom"/>
          </w:tcPr>
          <w:p w14:paraId="7EE9D16F"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bottom w:val="nil"/>
              <w:right w:val="nil"/>
            </w:tcBorders>
            <w:shd w:val="clear" w:color="auto" w:fill="auto"/>
            <w:noWrap/>
            <w:vAlign w:val="bottom"/>
          </w:tcPr>
          <w:p w14:paraId="6B149718" w14:textId="6E301579"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223.782</w:t>
            </w:r>
          </w:p>
        </w:tc>
        <w:tc>
          <w:tcPr>
            <w:tcW w:w="1737" w:type="dxa"/>
            <w:tcBorders>
              <w:top w:val="nil"/>
              <w:left w:val="single" w:sz="4" w:space="0" w:color="auto"/>
              <w:bottom w:val="nil"/>
              <w:right w:val="nil"/>
            </w:tcBorders>
          </w:tcPr>
          <w:p w14:paraId="0FF552A8"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924" w:type="dxa"/>
            <w:tcBorders>
              <w:top w:val="nil"/>
              <w:left w:val="nil"/>
              <w:bottom w:val="nil"/>
              <w:right w:val="nil"/>
            </w:tcBorders>
          </w:tcPr>
          <w:p w14:paraId="5170AFE7"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r>
      <w:tr w:rsidR="002E7B19" w:rsidRPr="00896F46" w14:paraId="5D1A4986" w14:textId="77777777" w:rsidTr="001578CB">
        <w:trPr>
          <w:trHeight w:val="113"/>
        </w:trPr>
        <w:tc>
          <w:tcPr>
            <w:tcW w:w="4037" w:type="dxa"/>
            <w:tcBorders>
              <w:top w:val="nil"/>
              <w:left w:val="nil"/>
              <w:bottom w:val="nil"/>
              <w:right w:val="nil"/>
            </w:tcBorders>
            <w:shd w:val="clear" w:color="auto" w:fill="auto"/>
            <w:noWrap/>
            <w:vAlign w:val="bottom"/>
          </w:tcPr>
          <w:p w14:paraId="0D3B74E0" w14:textId="7BE393F1" w:rsidR="002E7B19" w:rsidRPr="00896F46" w:rsidRDefault="002E7B19" w:rsidP="002E7B19">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p-value</w:t>
            </w:r>
          </w:p>
        </w:tc>
        <w:tc>
          <w:tcPr>
            <w:tcW w:w="1393" w:type="dxa"/>
            <w:tcBorders>
              <w:top w:val="nil"/>
              <w:left w:val="nil"/>
              <w:bottom w:val="nil"/>
              <w:right w:val="nil"/>
            </w:tcBorders>
            <w:shd w:val="clear" w:color="auto" w:fill="auto"/>
            <w:noWrap/>
          </w:tcPr>
          <w:p w14:paraId="3CFF7A4F"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bottom w:val="nil"/>
              <w:right w:val="nil"/>
            </w:tcBorders>
            <w:shd w:val="clear" w:color="auto" w:fill="auto"/>
            <w:noWrap/>
          </w:tcPr>
          <w:p w14:paraId="300406BC" w14:textId="0EEDB1FA" w:rsidR="002E7B19" w:rsidRPr="00896F46" w:rsidRDefault="007234CE" w:rsidP="002E7B19">
            <w:pPr>
              <w:spacing w:after="0" w:line="240" w:lineRule="auto"/>
              <w:jc w:val="center"/>
              <w:rPr>
                <w:rFonts w:ascii="Times New Roman" w:eastAsia="Times New Roman" w:hAnsi="Times New Roman" w:cs="Times New Roman"/>
                <w:color w:val="000000"/>
                <w:sz w:val="20"/>
                <w:szCs w:val="20"/>
                <w:lang w:eastAsia="en-NZ"/>
              </w:rPr>
            </w:pPr>
            <w:r w:rsidRPr="00896F46">
              <w:rPr>
                <w:rFonts w:ascii="Times New Roman" w:eastAsia="Times New Roman" w:hAnsi="Times New Roman" w:cs="Times New Roman"/>
                <w:color w:val="000000"/>
                <w:sz w:val="20"/>
                <w:szCs w:val="20"/>
                <w:lang w:eastAsia="en-NZ"/>
              </w:rPr>
              <w:t>0.0000</w:t>
            </w:r>
          </w:p>
        </w:tc>
        <w:tc>
          <w:tcPr>
            <w:tcW w:w="1396" w:type="dxa"/>
            <w:tcBorders>
              <w:top w:val="nil"/>
              <w:left w:val="nil"/>
              <w:bottom w:val="nil"/>
              <w:right w:val="nil"/>
            </w:tcBorders>
          </w:tcPr>
          <w:p w14:paraId="25833290"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bottom w:val="nil"/>
              <w:right w:val="single" w:sz="4" w:space="0" w:color="auto"/>
            </w:tcBorders>
            <w:shd w:val="clear" w:color="auto" w:fill="auto"/>
            <w:noWrap/>
          </w:tcPr>
          <w:p w14:paraId="3537971A" w14:textId="1AC8651B" w:rsidR="002E7B19" w:rsidRPr="00896F46" w:rsidRDefault="007234CE" w:rsidP="002E7B19">
            <w:pPr>
              <w:spacing w:after="0" w:line="240" w:lineRule="auto"/>
              <w:jc w:val="center"/>
              <w:rPr>
                <w:rFonts w:ascii="Times New Roman" w:eastAsia="Times New Roman" w:hAnsi="Times New Roman" w:cs="Times New Roman"/>
                <w:color w:val="000000"/>
                <w:sz w:val="20"/>
                <w:szCs w:val="20"/>
                <w:lang w:eastAsia="en-NZ"/>
              </w:rPr>
            </w:pPr>
            <w:r w:rsidRPr="00896F46">
              <w:rPr>
                <w:rFonts w:ascii="Times New Roman" w:eastAsia="Times New Roman" w:hAnsi="Times New Roman" w:cs="Times New Roman"/>
                <w:color w:val="000000"/>
                <w:sz w:val="20"/>
                <w:szCs w:val="20"/>
                <w:lang w:eastAsia="en-NZ"/>
              </w:rPr>
              <w:t>0.0000</w:t>
            </w:r>
          </w:p>
        </w:tc>
        <w:tc>
          <w:tcPr>
            <w:tcW w:w="1737" w:type="dxa"/>
            <w:tcBorders>
              <w:top w:val="nil"/>
              <w:left w:val="single" w:sz="4" w:space="0" w:color="auto"/>
              <w:bottom w:val="nil"/>
              <w:right w:val="nil"/>
            </w:tcBorders>
          </w:tcPr>
          <w:p w14:paraId="30ACA3A7"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924" w:type="dxa"/>
            <w:tcBorders>
              <w:top w:val="nil"/>
              <w:left w:val="nil"/>
              <w:bottom w:val="nil"/>
              <w:right w:val="nil"/>
            </w:tcBorders>
          </w:tcPr>
          <w:p w14:paraId="6A0F0406"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r>
      <w:tr w:rsidR="001578CB" w:rsidRPr="00896F46" w14:paraId="4DB95F26" w14:textId="77777777" w:rsidTr="001578CB">
        <w:trPr>
          <w:trHeight w:val="113"/>
        </w:trPr>
        <w:tc>
          <w:tcPr>
            <w:tcW w:w="4037" w:type="dxa"/>
            <w:tcBorders>
              <w:top w:val="nil"/>
              <w:left w:val="nil"/>
              <w:bottom w:val="nil"/>
              <w:right w:val="nil"/>
            </w:tcBorders>
            <w:shd w:val="clear" w:color="auto" w:fill="auto"/>
            <w:noWrap/>
            <w:vAlign w:val="bottom"/>
          </w:tcPr>
          <w:p w14:paraId="165B7B63" w14:textId="2F2D663E" w:rsidR="002E7B19" w:rsidRPr="00896F46" w:rsidRDefault="002E7B19" w:rsidP="002E7B19">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Weak identification test:</w:t>
            </w:r>
          </w:p>
        </w:tc>
        <w:tc>
          <w:tcPr>
            <w:tcW w:w="1393" w:type="dxa"/>
            <w:tcBorders>
              <w:top w:val="nil"/>
              <w:left w:val="nil"/>
              <w:bottom w:val="nil"/>
              <w:right w:val="nil"/>
            </w:tcBorders>
            <w:shd w:val="clear" w:color="auto" w:fill="auto"/>
            <w:noWrap/>
          </w:tcPr>
          <w:p w14:paraId="4E995177"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right w:val="nil"/>
            </w:tcBorders>
            <w:shd w:val="clear" w:color="auto" w:fill="auto"/>
            <w:noWrap/>
          </w:tcPr>
          <w:p w14:paraId="6AD72D87"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396" w:type="dxa"/>
            <w:tcBorders>
              <w:top w:val="nil"/>
              <w:left w:val="nil"/>
              <w:right w:val="nil"/>
            </w:tcBorders>
          </w:tcPr>
          <w:p w14:paraId="5BFA7214"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right w:val="single" w:sz="4" w:space="0" w:color="auto"/>
            </w:tcBorders>
            <w:shd w:val="clear" w:color="auto" w:fill="auto"/>
            <w:noWrap/>
          </w:tcPr>
          <w:p w14:paraId="31F7419B"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737" w:type="dxa"/>
            <w:tcBorders>
              <w:top w:val="nil"/>
              <w:left w:val="single" w:sz="4" w:space="0" w:color="auto"/>
              <w:bottom w:val="nil"/>
              <w:right w:val="nil"/>
            </w:tcBorders>
          </w:tcPr>
          <w:p w14:paraId="759CB710"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c>
          <w:tcPr>
            <w:tcW w:w="1924" w:type="dxa"/>
            <w:tcBorders>
              <w:top w:val="nil"/>
              <w:left w:val="nil"/>
              <w:bottom w:val="nil"/>
              <w:right w:val="nil"/>
            </w:tcBorders>
          </w:tcPr>
          <w:p w14:paraId="1827E643" w14:textId="77777777" w:rsidR="002E7B19" w:rsidRPr="00896F46" w:rsidRDefault="002E7B19" w:rsidP="002E7B19">
            <w:pPr>
              <w:spacing w:after="0" w:line="240" w:lineRule="auto"/>
              <w:jc w:val="center"/>
              <w:rPr>
                <w:rFonts w:ascii="Times New Roman" w:eastAsia="Times New Roman" w:hAnsi="Times New Roman" w:cs="Times New Roman"/>
                <w:color w:val="000000"/>
                <w:sz w:val="20"/>
                <w:szCs w:val="20"/>
                <w:lang w:eastAsia="en-NZ"/>
              </w:rPr>
            </w:pPr>
          </w:p>
        </w:tc>
      </w:tr>
      <w:tr w:rsidR="007234CE" w:rsidRPr="00896F46" w14:paraId="5B1CF870" w14:textId="77777777" w:rsidTr="001578CB">
        <w:trPr>
          <w:trHeight w:val="113"/>
        </w:trPr>
        <w:tc>
          <w:tcPr>
            <w:tcW w:w="4037" w:type="dxa"/>
            <w:tcBorders>
              <w:top w:val="nil"/>
              <w:left w:val="nil"/>
              <w:right w:val="nil"/>
            </w:tcBorders>
            <w:shd w:val="clear" w:color="auto" w:fill="auto"/>
            <w:noWrap/>
            <w:vAlign w:val="bottom"/>
          </w:tcPr>
          <w:p w14:paraId="541C1392" w14:textId="25F6BED9" w:rsidR="007234CE" w:rsidRPr="00896F46" w:rsidRDefault="007234CE" w:rsidP="007234CE">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Kleibergen-Paap rk Wald F statistic</w:t>
            </w:r>
          </w:p>
        </w:tc>
        <w:tc>
          <w:tcPr>
            <w:tcW w:w="1393" w:type="dxa"/>
            <w:tcBorders>
              <w:top w:val="nil"/>
              <w:left w:val="nil"/>
              <w:right w:val="nil"/>
            </w:tcBorders>
            <w:shd w:val="clear" w:color="auto" w:fill="auto"/>
            <w:noWrap/>
          </w:tcPr>
          <w:p w14:paraId="5427AA32"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bottom w:val="nil"/>
              <w:right w:val="nil"/>
            </w:tcBorders>
            <w:shd w:val="clear" w:color="auto" w:fill="auto"/>
            <w:noWrap/>
            <w:vAlign w:val="bottom"/>
          </w:tcPr>
          <w:p w14:paraId="10B9180F" w14:textId="3820265F"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249.56</w:t>
            </w:r>
          </w:p>
        </w:tc>
        <w:tc>
          <w:tcPr>
            <w:tcW w:w="1396" w:type="dxa"/>
            <w:tcBorders>
              <w:top w:val="nil"/>
              <w:left w:val="nil"/>
              <w:bottom w:val="nil"/>
              <w:right w:val="nil"/>
            </w:tcBorders>
            <w:shd w:val="clear" w:color="auto" w:fill="auto"/>
            <w:vAlign w:val="bottom"/>
          </w:tcPr>
          <w:p w14:paraId="27DCAD66"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bottom w:val="nil"/>
              <w:right w:val="nil"/>
            </w:tcBorders>
            <w:shd w:val="clear" w:color="auto" w:fill="auto"/>
            <w:noWrap/>
            <w:vAlign w:val="bottom"/>
          </w:tcPr>
          <w:p w14:paraId="57F4F380" w14:textId="446CDBE2"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286.61</w:t>
            </w:r>
          </w:p>
        </w:tc>
        <w:tc>
          <w:tcPr>
            <w:tcW w:w="1737" w:type="dxa"/>
            <w:tcBorders>
              <w:top w:val="nil"/>
              <w:left w:val="single" w:sz="4" w:space="0" w:color="auto"/>
              <w:right w:val="nil"/>
            </w:tcBorders>
          </w:tcPr>
          <w:p w14:paraId="6B2E6058"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c>
          <w:tcPr>
            <w:tcW w:w="1924" w:type="dxa"/>
            <w:tcBorders>
              <w:top w:val="nil"/>
              <w:left w:val="nil"/>
              <w:right w:val="nil"/>
            </w:tcBorders>
          </w:tcPr>
          <w:p w14:paraId="6D3310EB"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r>
      <w:tr w:rsidR="007234CE" w:rsidRPr="00896F46" w14:paraId="51B1F6DD" w14:textId="77777777" w:rsidTr="001578CB">
        <w:trPr>
          <w:trHeight w:val="113"/>
        </w:trPr>
        <w:tc>
          <w:tcPr>
            <w:tcW w:w="4037" w:type="dxa"/>
            <w:tcBorders>
              <w:top w:val="nil"/>
              <w:left w:val="nil"/>
              <w:right w:val="nil"/>
            </w:tcBorders>
            <w:shd w:val="clear" w:color="auto" w:fill="auto"/>
            <w:noWrap/>
            <w:vAlign w:val="bottom"/>
          </w:tcPr>
          <w:p w14:paraId="14DD0EC0" w14:textId="1D2A1E15" w:rsidR="007234CE" w:rsidRPr="00896F46" w:rsidRDefault="007234CE" w:rsidP="007234CE">
            <w:pPr>
              <w:spacing w:after="0" w:line="240" w:lineRule="auto"/>
              <w:rPr>
                <w:rFonts w:ascii="Times New Roman" w:eastAsia="Times New Roman" w:hAnsi="Times New Roman" w:cs="Times New Roman"/>
                <w:sz w:val="20"/>
                <w:szCs w:val="20"/>
                <w:lang w:eastAsia="en-NZ"/>
              </w:rPr>
            </w:pPr>
            <w:r w:rsidRPr="00896F46">
              <w:rPr>
                <w:rFonts w:ascii="Times New Roman" w:eastAsia="Times New Roman" w:hAnsi="Times New Roman" w:cs="Times New Roman"/>
                <w:sz w:val="20"/>
                <w:szCs w:val="20"/>
                <w:lang w:eastAsia="en-NZ"/>
              </w:rPr>
              <w:t>Stock-Yogo weak ID test critical values</w:t>
            </w:r>
          </w:p>
        </w:tc>
        <w:tc>
          <w:tcPr>
            <w:tcW w:w="1393" w:type="dxa"/>
            <w:tcBorders>
              <w:top w:val="nil"/>
              <w:left w:val="nil"/>
              <w:right w:val="nil"/>
            </w:tcBorders>
            <w:shd w:val="clear" w:color="auto" w:fill="auto"/>
            <w:noWrap/>
          </w:tcPr>
          <w:p w14:paraId="7F8BA04E"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right w:val="nil"/>
            </w:tcBorders>
            <w:shd w:val="clear" w:color="auto" w:fill="auto"/>
            <w:noWrap/>
            <w:vAlign w:val="bottom"/>
          </w:tcPr>
          <w:p w14:paraId="2A91D842" w14:textId="1F3C50FC"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16.38</w:t>
            </w:r>
          </w:p>
        </w:tc>
        <w:tc>
          <w:tcPr>
            <w:tcW w:w="1396" w:type="dxa"/>
            <w:tcBorders>
              <w:top w:val="nil"/>
              <w:left w:val="nil"/>
              <w:right w:val="nil"/>
            </w:tcBorders>
            <w:shd w:val="clear" w:color="auto" w:fill="auto"/>
            <w:vAlign w:val="bottom"/>
          </w:tcPr>
          <w:p w14:paraId="382222A2"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right w:val="nil"/>
            </w:tcBorders>
            <w:shd w:val="clear" w:color="auto" w:fill="auto"/>
            <w:noWrap/>
            <w:vAlign w:val="bottom"/>
          </w:tcPr>
          <w:p w14:paraId="109785B5" w14:textId="67FB8BE4"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r w:rsidRPr="001578CB">
              <w:rPr>
                <w:rFonts w:ascii="Times New Roman" w:hAnsi="Times New Roman" w:cs="Times New Roman"/>
                <w:color w:val="000000"/>
                <w:sz w:val="20"/>
                <w:szCs w:val="20"/>
              </w:rPr>
              <w:t>16.38</w:t>
            </w:r>
          </w:p>
        </w:tc>
        <w:tc>
          <w:tcPr>
            <w:tcW w:w="1737" w:type="dxa"/>
            <w:tcBorders>
              <w:top w:val="nil"/>
              <w:left w:val="single" w:sz="4" w:space="0" w:color="auto"/>
              <w:right w:val="nil"/>
            </w:tcBorders>
          </w:tcPr>
          <w:p w14:paraId="1FF136F7"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c>
          <w:tcPr>
            <w:tcW w:w="1924" w:type="dxa"/>
            <w:tcBorders>
              <w:top w:val="nil"/>
              <w:left w:val="nil"/>
              <w:right w:val="nil"/>
            </w:tcBorders>
          </w:tcPr>
          <w:p w14:paraId="03D65CC7" w14:textId="77777777" w:rsidR="007234CE" w:rsidRPr="00896F46" w:rsidRDefault="007234CE" w:rsidP="007234CE">
            <w:pPr>
              <w:spacing w:after="0" w:line="240" w:lineRule="auto"/>
              <w:jc w:val="center"/>
              <w:rPr>
                <w:rFonts w:ascii="Times New Roman" w:eastAsia="Times New Roman" w:hAnsi="Times New Roman" w:cs="Times New Roman"/>
                <w:color w:val="000000"/>
                <w:sz w:val="20"/>
                <w:szCs w:val="20"/>
                <w:lang w:eastAsia="en-NZ"/>
              </w:rPr>
            </w:pPr>
          </w:p>
        </w:tc>
      </w:tr>
      <w:tr w:rsidR="007C68CA" w:rsidRPr="00896F46" w14:paraId="593CBF60" w14:textId="77777777" w:rsidTr="001578CB">
        <w:trPr>
          <w:trHeight w:val="113"/>
        </w:trPr>
        <w:tc>
          <w:tcPr>
            <w:tcW w:w="4037" w:type="dxa"/>
            <w:tcBorders>
              <w:top w:val="nil"/>
              <w:left w:val="nil"/>
              <w:right w:val="nil"/>
            </w:tcBorders>
            <w:shd w:val="clear" w:color="auto" w:fill="auto"/>
            <w:noWrap/>
            <w:vAlign w:val="bottom"/>
          </w:tcPr>
          <w:p w14:paraId="15C463FA" w14:textId="73278347" w:rsidR="007C68CA" w:rsidRPr="00896F46" w:rsidRDefault="007C68CA" w:rsidP="007234CE">
            <w:pPr>
              <w:spacing w:after="0" w:line="240" w:lineRule="auto"/>
              <w:rPr>
                <w:rFonts w:ascii="Times New Roman" w:eastAsia="Times New Roman" w:hAnsi="Times New Roman" w:cs="Times New Roman"/>
                <w:sz w:val="20"/>
                <w:szCs w:val="20"/>
                <w:lang w:eastAsia="en-NZ"/>
              </w:rPr>
            </w:pPr>
            <w:r w:rsidRPr="00365E19">
              <w:rPr>
                <w:rFonts w:ascii="Times New Roman" w:eastAsia="Times New Roman" w:hAnsi="Times New Roman" w:cs="Times New Roman"/>
                <w:sz w:val="20"/>
                <w:szCs w:val="20"/>
                <w:lang w:eastAsia="en-NZ"/>
              </w:rPr>
              <w:t>RAM-AEM</w:t>
            </w:r>
          </w:p>
        </w:tc>
        <w:tc>
          <w:tcPr>
            <w:tcW w:w="1393" w:type="dxa"/>
            <w:tcBorders>
              <w:top w:val="nil"/>
              <w:left w:val="nil"/>
              <w:bottom w:val="nil"/>
              <w:right w:val="nil"/>
            </w:tcBorders>
            <w:shd w:val="clear" w:color="auto" w:fill="auto"/>
            <w:noWrap/>
          </w:tcPr>
          <w:p w14:paraId="2A3C2784" w14:textId="77777777" w:rsidR="007C68CA" w:rsidRPr="00896F46" w:rsidRDefault="007C68CA" w:rsidP="007234CE">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bottom w:val="nil"/>
              <w:right w:val="nil"/>
            </w:tcBorders>
            <w:shd w:val="clear" w:color="auto" w:fill="auto"/>
            <w:noWrap/>
            <w:vAlign w:val="bottom"/>
          </w:tcPr>
          <w:p w14:paraId="60C4C78C" w14:textId="77777777" w:rsidR="007C68CA" w:rsidRPr="007C68CA" w:rsidRDefault="007C68CA" w:rsidP="007234CE">
            <w:pPr>
              <w:spacing w:after="0" w:line="240" w:lineRule="auto"/>
              <w:jc w:val="center"/>
              <w:rPr>
                <w:rFonts w:ascii="Times New Roman" w:hAnsi="Times New Roman" w:cs="Times New Roman"/>
                <w:color w:val="000000"/>
                <w:sz w:val="20"/>
                <w:szCs w:val="20"/>
              </w:rPr>
            </w:pPr>
          </w:p>
        </w:tc>
        <w:tc>
          <w:tcPr>
            <w:tcW w:w="1396" w:type="dxa"/>
            <w:tcBorders>
              <w:top w:val="nil"/>
              <w:left w:val="nil"/>
              <w:bottom w:val="nil"/>
              <w:right w:val="nil"/>
            </w:tcBorders>
            <w:shd w:val="clear" w:color="auto" w:fill="auto"/>
            <w:vAlign w:val="bottom"/>
          </w:tcPr>
          <w:p w14:paraId="78282278" w14:textId="77777777" w:rsidR="007C68CA" w:rsidRPr="00896F46" w:rsidRDefault="007C68CA" w:rsidP="007234CE">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bottom w:val="nil"/>
              <w:right w:val="nil"/>
            </w:tcBorders>
            <w:shd w:val="clear" w:color="auto" w:fill="auto"/>
            <w:noWrap/>
            <w:vAlign w:val="bottom"/>
          </w:tcPr>
          <w:p w14:paraId="36BF42EA" w14:textId="77777777" w:rsidR="007C68CA" w:rsidRPr="007C68CA" w:rsidRDefault="007C68CA" w:rsidP="007234CE">
            <w:pPr>
              <w:spacing w:after="0" w:line="240" w:lineRule="auto"/>
              <w:jc w:val="center"/>
              <w:rPr>
                <w:rFonts w:ascii="Times New Roman" w:hAnsi="Times New Roman" w:cs="Times New Roman"/>
                <w:color w:val="000000"/>
                <w:sz w:val="20"/>
                <w:szCs w:val="20"/>
              </w:rPr>
            </w:pPr>
          </w:p>
        </w:tc>
        <w:tc>
          <w:tcPr>
            <w:tcW w:w="1737" w:type="dxa"/>
            <w:tcBorders>
              <w:top w:val="nil"/>
              <w:left w:val="single" w:sz="4" w:space="0" w:color="auto"/>
              <w:bottom w:val="nil"/>
              <w:right w:val="nil"/>
            </w:tcBorders>
          </w:tcPr>
          <w:p w14:paraId="6276E572" w14:textId="085726EF" w:rsidR="007C68CA" w:rsidRPr="00896F46" w:rsidRDefault="00452CA1" w:rsidP="007234CE">
            <w:pPr>
              <w:spacing w:after="0" w:line="240" w:lineRule="auto"/>
              <w:jc w:val="cente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-0.07</w:t>
            </w:r>
            <w:r w:rsidR="00A07468">
              <w:rPr>
                <w:rFonts w:ascii="Times New Roman" w:eastAsia="Times New Roman" w:hAnsi="Times New Roman" w:cs="Times New Roman"/>
                <w:color w:val="000000"/>
                <w:sz w:val="20"/>
                <w:szCs w:val="20"/>
                <w:lang w:eastAsia="en-NZ"/>
              </w:rPr>
              <w:t>47</w:t>
            </w:r>
            <w:r w:rsidR="008A38C1">
              <w:rPr>
                <w:rFonts w:ascii="Times New Roman" w:eastAsia="Times New Roman" w:hAnsi="Times New Roman" w:cs="Times New Roman"/>
                <w:color w:val="000000"/>
                <w:sz w:val="20"/>
                <w:szCs w:val="20"/>
                <w:lang w:eastAsia="en-NZ"/>
              </w:rPr>
              <w:t>***</w:t>
            </w:r>
          </w:p>
        </w:tc>
        <w:tc>
          <w:tcPr>
            <w:tcW w:w="1924" w:type="dxa"/>
            <w:tcBorders>
              <w:top w:val="nil"/>
              <w:left w:val="nil"/>
              <w:bottom w:val="nil"/>
              <w:right w:val="nil"/>
            </w:tcBorders>
          </w:tcPr>
          <w:p w14:paraId="064D2979" w14:textId="77777777" w:rsidR="007C68CA" w:rsidRPr="00896F46" w:rsidRDefault="007C68CA" w:rsidP="007234CE">
            <w:pPr>
              <w:spacing w:after="0" w:line="240" w:lineRule="auto"/>
              <w:jc w:val="center"/>
              <w:rPr>
                <w:rFonts w:ascii="Times New Roman" w:eastAsia="Times New Roman" w:hAnsi="Times New Roman" w:cs="Times New Roman"/>
                <w:color w:val="000000"/>
                <w:sz w:val="20"/>
                <w:szCs w:val="20"/>
                <w:lang w:eastAsia="en-NZ"/>
              </w:rPr>
            </w:pPr>
          </w:p>
        </w:tc>
      </w:tr>
      <w:tr w:rsidR="007C68CA" w:rsidRPr="00896F46" w14:paraId="6CF50FEC" w14:textId="77777777" w:rsidTr="001578CB">
        <w:trPr>
          <w:trHeight w:val="113"/>
        </w:trPr>
        <w:tc>
          <w:tcPr>
            <w:tcW w:w="4037" w:type="dxa"/>
            <w:tcBorders>
              <w:top w:val="nil"/>
              <w:left w:val="nil"/>
              <w:bottom w:val="single" w:sz="4" w:space="0" w:color="auto"/>
              <w:right w:val="nil"/>
            </w:tcBorders>
            <w:shd w:val="clear" w:color="auto" w:fill="auto"/>
            <w:noWrap/>
            <w:vAlign w:val="bottom"/>
          </w:tcPr>
          <w:p w14:paraId="25AA25F7" w14:textId="54D5F1D0" w:rsidR="007C68CA" w:rsidRPr="00896F46" w:rsidRDefault="007C68CA" w:rsidP="007234CE">
            <w:pPr>
              <w:spacing w:after="0" w:line="240" w:lineRule="auto"/>
              <w:rPr>
                <w:rFonts w:ascii="Times New Roman" w:eastAsia="Times New Roman" w:hAnsi="Times New Roman" w:cs="Times New Roman"/>
                <w:sz w:val="20"/>
                <w:szCs w:val="20"/>
                <w:lang w:eastAsia="en-NZ"/>
              </w:rPr>
            </w:pPr>
            <w:r w:rsidRPr="00365E19">
              <w:rPr>
                <w:rFonts w:ascii="Times New Roman" w:hAnsi="Times New Roman" w:cs="Times New Roman"/>
                <w:i/>
                <w:iCs/>
                <w:color w:val="000000"/>
                <w:sz w:val="20"/>
                <w:szCs w:val="20"/>
              </w:rPr>
              <w:t>(F-statistics)</w:t>
            </w:r>
          </w:p>
        </w:tc>
        <w:tc>
          <w:tcPr>
            <w:tcW w:w="1393" w:type="dxa"/>
            <w:tcBorders>
              <w:top w:val="nil"/>
              <w:left w:val="nil"/>
              <w:bottom w:val="single" w:sz="4" w:space="0" w:color="auto"/>
              <w:right w:val="nil"/>
            </w:tcBorders>
            <w:shd w:val="clear" w:color="auto" w:fill="auto"/>
            <w:noWrap/>
          </w:tcPr>
          <w:p w14:paraId="0B7F2D4E" w14:textId="77777777" w:rsidR="007C68CA" w:rsidRPr="00896F46" w:rsidRDefault="007C68CA" w:rsidP="007234CE">
            <w:pPr>
              <w:spacing w:after="0" w:line="240" w:lineRule="auto"/>
              <w:jc w:val="center"/>
              <w:rPr>
                <w:rFonts w:ascii="Times New Roman" w:eastAsia="Times New Roman" w:hAnsi="Times New Roman" w:cs="Times New Roman"/>
                <w:color w:val="000000"/>
                <w:sz w:val="20"/>
                <w:szCs w:val="20"/>
                <w:lang w:eastAsia="en-NZ"/>
              </w:rPr>
            </w:pPr>
          </w:p>
        </w:tc>
        <w:tc>
          <w:tcPr>
            <w:tcW w:w="1867" w:type="dxa"/>
            <w:tcBorders>
              <w:top w:val="nil"/>
              <w:left w:val="nil"/>
              <w:bottom w:val="single" w:sz="4" w:space="0" w:color="auto"/>
              <w:right w:val="nil"/>
            </w:tcBorders>
            <w:shd w:val="clear" w:color="auto" w:fill="auto"/>
            <w:noWrap/>
            <w:vAlign w:val="bottom"/>
          </w:tcPr>
          <w:p w14:paraId="28F9C222" w14:textId="77777777" w:rsidR="007C68CA" w:rsidRPr="007C68CA" w:rsidRDefault="007C68CA" w:rsidP="007234CE">
            <w:pPr>
              <w:spacing w:after="0" w:line="240" w:lineRule="auto"/>
              <w:jc w:val="center"/>
              <w:rPr>
                <w:rFonts w:ascii="Times New Roman" w:hAnsi="Times New Roman" w:cs="Times New Roman"/>
                <w:color w:val="000000"/>
                <w:sz w:val="20"/>
                <w:szCs w:val="20"/>
              </w:rPr>
            </w:pPr>
          </w:p>
        </w:tc>
        <w:tc>
          <w:tcPr>
            <w:tcW w:w="1396" w:type="dxa"/>
            <w:tcBorders>
              <w:top w:val="nil"/>
              <w:left w:val="nil"/>
              <w:bottom w:val="single" w:sz="4" w:space="0" w:color="auto"/>
              <w:right w:val="nil"/>
            </w:tcBorders>
            <w:shd w:val="clear" w:color="auto" w:fill="auto"/>
            <w:vAlign w:val="bottom"/>
          </w:tcPr>
          <w:p w14:paraId="1099600E" w14:textId="77777777" w:rsidR="007C68CA" w:rsidRPr="00896F46" w:rsidRDefault="007C68CA" w:rsidP="007234CE">
            <w:pPr>
              <w:spacing w:after="0" w:line="240" w:lineRule="auto"/>
              <w:jc w:val="center"/>
              <w:rPr>
                <w:rFonts w:ascii="Times New Roman" w:eastAsia="Times New Roman" w:hAnsi="Times New Roman" w:cs="Times New Roman"/>
                <w:color w:val="000000"/>
                <w:sz w:val="20"/>
                <w:szCs w:val="20"/>
                <w:lang w:eastAsia="en-NZ"/>
              </w:rPr>
            </w:pPr>
          </w:p>
        </w:tc>
        <w:tc>
          <w:tcPr>
            <w:tcW w:w="1619" w:type="dxa"/>
            <w:tcBorders>
              <w:top w:val="nil"/>
              <w:left w:val="nil"/>
              <w:bottom w:val="single" w:sz="4" w:space="0" w:color="auto"/>
              <w:right w:val="nil"/>
            </w:tcBorders>
            <w:shd w:val="clear" w:color="auto" w:fill="auto"/>
            <w:noWrap/>
            <w:vAlign w:val="bottom"/>
          </w:tcPr>
          <w:p w14:paraId="6706BA6C" w14:textId="77777777" w:rsidR="007C68CA" w:rsidRPr="007C68CA" w:rsidRDefault="007C68CA" w:rsidP="007234CE">
            <w:pPr>
              <w:spacing w:after="0" w:line="240" w:lineRule="auto"/>
              <w:jc w:val="center"/>
              <w:rPr>
                <w:rFonts w:ascii="Times New Roman" w:hAnsi="Times New Roman" w:cs="Times New Roman"/>
                <w:color w:val="000000"/>
                <w:sz w:val="20"/>
                <w:szCs w:val="20"/>
              </w:rPr>
            </w:pPr>
          </w:p>
        </w:tc>
        <w:tc>
          <w:tcPr>
            <w:tcW w:w="1737" w:type="dxa"/>
            <w:tcBorders>
              <w:top w:val="nil"/>
              <w:left w:val="single" w:sz="4" w:space="0" w:color="auto"/>
              <w:bottom w:val="single" w:sz="4" w:space="0" w:color="auto"/>
              <w:right w:val="nil"/>
            </w:tcBorders>
          </w:tcPr>
          <w:p w14:paraId="082AAA10" w14:textId="695A9007" w:rsidR="007C68CA" w:rsidRPr="00896F46" w:rsidRDefault="008A38C1" w:rsidP="007234CE">
            <w:pPr>
              <w:spacing w:after="0" w:line="240" w:lineRule="auto"/>
              <w:jc w:val="cente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[99.</w:t>
            </w:r>
            <w:r w:rsidR="00A07468">
              <w:rPr>
                <w:rFonts w:ascii="Times New Roman" w:eastAsia="Times New Roman" w:hAnsi="Times New Roman" w:cs="Times New Roman"/>
                <w:color w:val="000000"/>
                <w:sz w:val="20"/>
                <w:szCs w:val="20"/>
                <w:lang w:eastAsia="en-NZ"/>
              </w:rPr>
              <w:t>91</w:t>
            </w:r>
            <w:r>
              <w:rPr>
                <w:rFonts w:ascii="Times New Roman" w:eastAsia="Times New Roman" w:hAnsi="Times New Roman" w:cs="Times New Roman"/>
                <w:color w:val="000000"/>
                <w:sz w:val="20"/>
                <w:szCs w:val="20"/>
                <w:lang w:eastAsia="en-NZ"/>
              </w:rPr>
              <w:t>]</w:t>
            </w:r>
          </w:p>
        </w:tc>
        <w:tc>
          <w:tcPr>
            <w:tcW w:w="1924" w:type="dxa"/>
            <w:tcBorders>
              <w:top w:val="nil"/>
              <w:left w:val="nil"/>
              <w:bottom w:val="single" w:sz="4" w:space="0" w:color="auto"/>
              <w:right w:val="nil"/>
            </w:tcBorders>
          </w:tcPr>
          <w:p w14:paraId="67CADFB5" w14:textId="77777777" w:rsidR="007C68CA" w:rsidRPr="00896F46" w:rsidRDefault="007C68CA" w:rsidP="007234CE">
            <w:pPr>
              <w:spacing w:after="0" w:line="240" w:lineRule="auto"/>
              <w:jc w:val="center"/>
              <w:rPr>
                <w:rFonts w:ascii="Times New Roman" w:eastAsia="Times New Roman" w:hAnsi="Times New Roman" w:cs="Times New Roman"/>
                <w:color w:val="000000"/>
                <w:sz w:val="20"/>
                <w:szCs w:val="20"/>
                <w:lang w:eastAsia="en-NZ"/>
              </w:rPr>
            </w:pPr>
          </w:p>
        </w:tc>
      </w:tr>
    </w:tbl>
    <w:p w14:paraId="1AEA5E84" w14:textId="71CF5043" w:rsidR="005E3506" w:rsidRDefault="00B821D4" w:rsidP="00DD67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Pr="00CC0FCE">
        <w:rPr>
          <w:rFonts w:ascii="Times New Roman" w:hAnsi="Times New Roman" w:cs="Times New Roman"/>
          <w:sz w:val="20"/>
          <w:szCs w:val="20"/>
        </w:rPr>
        <w:t xml:space="preserve">This table </w:t>
      </w:r>
      <w:r w:rsidR="00BF20D7">
        <w:rPr>
          <w:rFonts w:ascii="Times New Roman" w:hAnsi="Times New Roman" w:cs="Times New Roman"/>
          <w:sz w:val="20"/>
          <w:szCs w:val="20"/>
        </w:rPr>
        <w:t xml:space="preserve">presents </w:t>
      </w:r>
      <w:r w:rsidR="009B24B9">
        <w:rPr>
          <w:rFonts w:ascii="Times New Roman" w:hAnsi="Times New Roman" w:cs="Times New Roman"/>
          <w:sz w:val="20"/>
          <w:szCs w:val="20"/>
        </w:rPr>
        <w:t xml:space="preserve">the endogeneity </w:t>
      </w:r>
      <w:r w:rsidR="00C20E5C">
        <w:rPr>
          <w:rFonts w:ascii="Times New Roman" w:hAnsi="Times New Roman" w:cs="Times New Roman"/>
          <w:sz w:val="20"/>
          <w:szCs w:val="20"/>
        </w:rPr>
        <w:t xml:space="preserve">test results. </w:t>
      </w:r>
      <w:r w:rsidR="00D061BE">
        <w:rPr>
          <w:rFonts w:ascii="Times New Roman" w:hAnsi="Times New Roman" w:cs="Times New Roman"/>
          <w:sz w:val="20"/>
          <w:szCs w:val="20"/>
        </w:rPr>
        <w:t>Columns</w:t>
      </w:r>
      <w:r w:rsidR="001B7F21">
        <w:rPr>
          <w:rFonts w:ascii="Times New Roman" w:hAnsi="Times New Roman" w:cs="Times New Roman"/>
          <w:sz w:val="20"/>
          <w:szCs w:val="20"/>
        </w:rPr>
        <w:t xml:space="preserve"> (1) to (4) prese</w:t>
      </w:r>
      <w:r w:rsidR="003D16B6">
        <w:rPr>
          <w:rFonts w:ascii="Times New Roman" w:hAnsi="Times New Roman" w:cs="Times New Roman"/>
          <w:sz w:val="20"/>
          <w:szCs w:val="20"/>
        </w:rPr>
        <w:t>nt</w:t>
      </w:r>
      <w:r w:rsidR="001B7F21">
        <w:rPr>
          <w:rFonts w:ascii="Times New Roman" w:hAnsi="Times New Roman" w:cs="Times New Roman"/>
          <w:sz w:val="20"/>
          <w:szCs w:val="20"/>
        </w:rPr>
        <w:t xml:space="preserve"> </w:t>
      </w:r>
      <w:r w:rsidR="001054E3">
        <w:rPr>
          <w:rFonts w:ascii="Times New Roman" w:hAnsi="Times New Roman" w:cs="Times New Roman"/>
          <w:sz w:val="20"/>
          <w:szCs w:val="20"/>
        </w:rPr>
        <w:t>the 2SLS regression results.</w:t>
      </w:r>
      <w:r w:rsidR="006574F7">
        <w:rPr>
          <w:rFonts w:ascii="Times New Roman" w:hAnsi="Times New Roman" w:cs="Times New Roman"/>
          <w:sz w:val="20"/>
          <w:szCs w:val="20"/>
        </w:rPr>
        <w:t xml:space="preserve"> </w:t>
      </w:r>
      <w:r w:rsidR="006574F7" w:rsidRPr="001578CB">
        <w:rPr>
          <w:rFonts w:ascii="Times New Roman" w:hAnsi="Times New Roman" w:cs="Times New Roman"/>
          <w:i/>
          <w:iCs/>
          <w:sz w:val="20"/>
          <w:szCs w:val="20"/>
        </w:rPr>
        <w:t>AEM_M</w:t>
      </w:r>
      <w:r w:rsidR="006574F7">
        <w:rPr>
          <w:rFonts w:ascii="Times New Roman" w:hAnsi="Times New Roman" w:cs="Times New Roman"/>
          <w:sz w:val="20"/>
          <w:szCs w:val="20"/>
        </w:rPr>
        <w:t xml:space="preserve"> and </w:t>
      </w:r>
      <w:r w:rsidR="006574F7" w:rsidRPr="001578CB">
        <w:rPr>
          <w:rFonts w:ascii="Times New Roman" w:hAnsi="Times New Roman" w:cs="Times New Roman"/>
          <w:i/>
          <w:iCs/>
          <w:sz w:val="20"/>
          <w:szCs w:val="20"/>
        </w:rPr>
        <w:t>RAM_M</w:t>
      </w:r>
      <w:r w:rsidR="006574F7">
        <w:rPr>
          <w:rFonts w:ascii="Times New Roman" w:hAnsi="Times New Roman" w:cs="Times New Roman"/>
          <w:sz w:val="20"/>
          <w:szCs w:val="20"/>
        </w:rPr>
        <w:t xml:space="preserve"> in Columns (1) and (</w:t>
      </w:r>
      <w:r w:rsidR="006A4B5B">
        <w:rPr>
          <w:rFonts w:ascii="Times New Roman" w:hAnsi="Times New Roman" w:cs="Times New Roman"/>
          <w:sz w:val="20"/>
          <w:szCs w:val="20"/>
        </w:rPr>
        <w:t>3), respectively are the</w:t>
      </w:r>
      <w:r w:rsidR="002614CC">
        <w:rPr>
          <w:rFonts w:ascii="Times New Roman" w:hAnsi="Times New Roman" w:cs="Times New Roman"/>
          <w:sz w:val="20"/>
          <w:szCs w:val="20"/>
        </w:rPr>
        <w:t xml:space="preserve"> country-year mean</w:t>
      </w:r>
      <w:r w:rsidR="00806C78">
        <w:rPr>
          <w:rFonts w:ascii="Times New Roman" w:hAnsi="Times New Roman" w:cs="Times New Roman"/>
          <w:sz w:val="20"/>
          <w:szCs w:val="20"/>
        </w:rPr>
        <w:t xml:space="preserve"> </w:t>
      </w:r>
      <w:r w:rsidR="00806C78" w:rsidRPr="001578CB">
        <w:rPr>
          <w:rFonts w:ascii="Times New Roman" w:hAnsi="Times New Roman" w:cs="Times New Roman"/>
          <w:i/>
          <w:iCs/>
          <w:sz w:val="20"/>
          <w:szCs w:val="20"/>
        </w:rPr>
        <w:t>AEM</w:t>
      </w:r>
      <w:r w:rsidR="00806C78">
        <w:rPr>
          <w:rFonts w:ascii="Times New Roman" w:hAnsi="Times New Roman" w:cs="Times New Roman"/>
          <w:sz w:val="20"/>
          <w:szCs w:val="20"/>
        </w:rPr>
        <w:t xml:space="preserve"> and </w:t>
      </w:r>
      <w:r w:rsidR="00806C78" w:rsidRPr="001578CB">
        <w:rPr>
          <w:rFonts w:ascii="Times New Roman" w:hAnsi="Times New Roman" w:cs="Times New Roman"/>
          <w:i/>
          <w:iCs/>
          <w:sz w:val="20"/>
          <w:szCs w:val="20"/>
        </w:rPr>
        <w:t>RAM</w:t>
      </w:r>
      <w:r w:rsidR="00806C78">
        <w:rPr>
          <w:rFonts w:ascii="Times New Roman" w:hAnsi="Times New Roman" w:cs="Times New Roman"/>
          <w:sz w:val="20"/>
          <w:szCs w:val="20"/>
        </w:rPr>
        <w:t xml:space="preserve"> used as the instruments.</w:t>
      </w:r>
      <w:r w:rsidR="00C917D3">
        <w:rPr>
          <w:rFonts w:ascii="Times New Roman" w:hAnsi="Times New Roman" w:cs="Times New Roman"/>
          <w:sz w:val="20"/>
          <w:szCs w:val="20"/>
        </w:rPr>
        <w:t xml:space="preserve"> </w:t>
      </w:r>
      <w:r w:rsidR="00F5211C">
        <w:rPr>
          <w:rFonts w:ascii="Times New Roman" w:hAnsi="Times New Roman" w:cs="Times New Roman"/>
          <w:sz w:val="20"/>
          <w:szCs w:val="20"/>
        </w:rPr>
        <w:t>C</w:t>
      </w:r>
      <w:r w:rsidR="003D16B6">
        <w:rPr>
          <w:rFonts w:ascii="Times New Roman" w:hAnsi="Times New Roman" w:cs="Times New Roman"/>
          <w:sz w:val="20"/>
          <w:szCs w:val="20"/>
        </w:rPr>
        <w:t>o</w:t>
      </w:r>
      <w:r w:rsidR="00F5211C">
        <w:rPr>
          <w:rFonts w:ascii="Times New Roman" w:hAnsi="Times New Roman" w:cs="Times New Roman"/>
          <w:sz w:val="20"/>
          <w:szCs w:val="20"/>
        </w:rPr>
        <w:t>lum</w:t>
      </w:r>
      <w:r w:rsidR="003D16B6">
        <w:rPr>
          <w:rFonts w:ascii="Times New Roman" w:hAnsi="Times New Roman" w:cs="Times New Roman"/>
          <w:sz w:val="20"/>
          <w:szCs w:val="20"/>
        </w:rPr>
        <w:t>n</w:t>
      </w:r>
      <w:r w:rsidR="00F5211C">
        <w:rPr>
          <w:rFonts w:ascii="Times New Roman" w:hAnsi="Times New Roman" w:cs="Times New Roman"/>
          <w:sz w:val="20"/>
          <w:szCs w:val="20"/>
        </w:rPr>
        <w:t>s (5) and (</w:t>
      </w:r>
      <w:r w:rsidR="003D16B6">
        <w:rPr>
          <w:rFonts w:ascii="Times New Roman" w:hAnsi="Times New Roman" w:cs="Times New Roman"/>
          <w:sz w:val="20"/>
          <w:szCs w:val="20"/>
        </w:rPr>
        <w:t xml:space="preserve">6) present the results for </w:t>
      </w:r>
      <w:r w:rsidR="00BC531F">
        <w:rPr>
          <w:rFonts w:ascii="Times New Roman" w:hAnsi="Times New Roman" w:cs="Times New Roman"/>
          <w:sz w:val="20"/>
          <w:szCs w:val="20"/>
        </w:rPr>
        <w:t>the stepwise regression</w:t>
      </w:r>
      <w:r>
        <w:rPr>
          <w:rFonts w:ascii="Times New Roman" w:hAnsi="Times New Roman" w:cs="Times New Roman"/>
          <w:sz w:val="20"/>
          <w:szCs w:val="20"/>
        </w:rPr>
        <w:t xml:space="preserve">. </w:t>
      </w:r>
      <w:r w:rsidRPr="00CC0FCE">
        <w:rPr>
          <w:rFonts w:ascii="Times New Roman" w:hAnsi="Times New Roman" w:cs="Times New Roman"/>
          <w:sz w:val="20"/>
          <w:szCs w:val="20"/>
        </w:rPr>
        <w:t xml:space="preserve">Robust </w:t>
      </w:r>
      <w:r w:rsidRPr="00A96144">
        <w:rPr>
          <w:rFonts w:ascii="Times New Roman" w:hAnsi="Times New Roman" w:cs="Times New Roman"/>
          <w:i/>
          <w:iCs/>
          <w:sz w:val="20"/>
          <w:szCs w:val="20"/>
        </w:rPr>
        <w:t>t</w:t>
      </w:r>
      <w:r w:rsidRPr="00CC0FCE">
        <w:rPr>
          <w:rFonts w:ascii="Times New Roman" w:hAnsi="Times New Roman" w:cs="Times New Roman"/>
          <w:sz w:val="20"/>
          <w:szCs w:val="20"/>
        </w:rPr>
        <w:t>-statistics are in parenthesis. ***, **, * indicate significance at the 1%, 5% and 10% levels, respectively. All variables are defined in Appendix</w:t>
      </w:r>
      <w:r>
        <w:rPr>
          <w:rFonts w:ascii="Times New Roman" w:hAnsi="Times New Roman" w:cs="Times New Roman"/>
          <w:sz w:val="20"/>
          <w:szCs w:val="20"/>
        </w:rPr>
        <w:t>.</w:t>
      </w:r>
    </w:p>
    <w:sectPr w:rsidR="005E3506" w:rsidSect="001578C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69E6" w14:textId="77777777" w:rsidR="00154953" w:rsidRDefault="00154953" w:rsidP="00B21B24">
      <w:pPr>
        <w:spacing w:after="0" w:line="240" w:lineRule="auto"/>
      </w:pPr>
      <w:r>
        <w:separator/>
      </w:r>
    </w:p>
  </w:endnote>
  <w:endnote w:type="continuationSeparator" w:id="0">
    <w:p w14:paraId="6C276580" w14:textId="77777777" w:rsidR="00154953" w:rsidRDefault="00154953" w:rsidP="00B2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79668"/>
      <w:docPartObj>
        <w:docPartGallery w:val="Page Numbers (Bottom of Page)"/>
        <w:docPartUnique/>
      </w:docPartObj>
    </w:sdtPr>
    <w:sdtEndPr>
      <w:rPr>
        <w:rFonts w:ascii="Times New Roman" w:hAnsi="Times New Roman" w:cs="Times New Roman"/>
        <w:noProof/>
        <w:sz w:val="24"/>
        <w:szCs w:val="24"/>
      </w:rPr>
    </w:sdtEndPr>
    <w:sdtContent>
      <w:p w14:paraId="04FFCE29" w14:textId="77777777" w:rsidR="005E3506" w:rsidRPr="0027021C" w:rsidRDefault="005E3506">
        <w:pPr>
          <w:pStyle w:val="Footer"/>
          <w:jc w:val="right"/>
          <w:rPr>
            <w:rFonts w:ascii="Times New Roman" w:hAnsi="Times New Roman" w:cs="Times New Roman"/>
            <w:sz w:val="24"/>
            <w:szCs w:val="24"/>
          </w:rPr>
        </w:pPr>
        <w:r w:rsidRPr="0027021C">
          <w:rPr>
            <w:rFonts w:ascii="Times New Roman" w:hAnsi="Times New Roman" w:cs="Times New Roman"/>
            <w:sz w:val="24"/>
            <w:szCs w:val="24"/>
          </w:rPr>
          <w:fldChar w:fldCharType="begin"/>
        </w:r>
        <w:r w:rsidRPr="0027021C">
          <w:rPr>
            <w:rFonts w:ascii="Times New Roman" w:hAnsi="Times New Roman" w:cs="Times New Roman"/>
            <w:sz w:val="24"/>
            <w:szCs w:val="24"/>
          </w:rPr>
          <w:instrText xml:space="preserve"> PAGE   \* MERGEFORMAT </w:instrText>
        </w:r>
        <w:r w:rsidRPr="002702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27021C">
          <w:rPr>
            <w:rFonts w:ascii="Times New Roman" w:hAnsi="Times New Roman" w:cs="Times New Roman"/>
            <w:noProof/>
            <w:sz w:val="24"/>
            <w:szCs w:val="24"/>
          </w:rPr>
          <w:fldChar w:fldCharType="end"/>
        </w:r>
      </w:p>
    </w:sdtContent>
  </w:sdt>
  <w:p w14:paraId="6494BAE2" w14:textId="77777777" w:rsidR="005E3506" w:rsidRDefault="005E3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7394"/>
      <w:docPartObj>
        <w:docPartGallery w:val="Page Numbers (Bottom of Page)"/>
        <w:docPartUnique/>
      </w:docPartObj>
    </w:sdtPr>
    <w:sdtEndPr>
      <w:rPr>
        <w:rFonts w:ascii="Times New Roman" w:hAnsi="Times New Roman" w:cs="Times New Roman"/>
        <w:noProof/>
        <w:sz w:val="24"/>
        <w:szCs w:val="24"/>
      </w:rPr>
    </w:sdtEndPr>
    <w:sdtContent>
      <w:p w14:paraId="43DE5AC6" w14:textId="4A6E86BF" w:rsidR="00B12B59" w:rsidRPr="0027021C" w:rsidRDefault="00B12B59">
        <w:pPr>
          <w:pStyle w:val="Footer"/>
          <w:jc w:val="right"/>
          <w:rPr>
            <w:rFonts w:ascii="Times New Roman" w:hAnsi="Times New Roman" w:cs="Times New Roman"/>
            <w:sz w:val="24"/>
            <w:szCs w:val="24"/>
          </w:rPr>
        </w:pPr>
        <w:r w:rsidRPr="0027021C">
          <w:rPr>
            <w:rFonts w:ascii="Times New Roman" w:hAnsi="Times New Roman" w:cs="Times New Roman"/>
            <w:sz w:val="24"/>
            <w:szCs w:val="24"/>
          </w:rPr>
          <w:fldChar w:fldCharType="begin"/>
        </w:r>
        <w:r w:rsidRPr="0027021C">
          <w:rPr>
            <w:rFonts w:ascii="Times New Roman" w:hAnsi="Times New Roman" w:cs="Times New Roman"/>
            <w:sz w:val="24"/>
            <w:szCs w:val="24"/>
          </w:rPr>
          <w:instrText xml:space="preserve"> PAGE   \* MERGEFORMAT </w:instrText>
        </w:r>
        <w:r w:rsidRPr="002702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27021C">
          <w:rPr>
            <w:rFonts w:ascii="Times New Roman" w:hAnsi="Times New Roman" w:cs="Times New Roman"/>
            <w:noProof/>
            <w:sz w:val="24"/>
            <w:szCs w:val="24"/>
          </w:rPr>
          <w:fldChar w:fldCharType="end"/>
        </w:r>
      </w:p>
    </w:sdtContent>
  </w:sdt>
  <w:p w14:paraId="268B74ED" w14:textId="77777777" w:rsidR="00B12B59" w:rsidRDefault="00B1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1521" w14:textId="77777777" w:rsidR="00154953" w:rsidRDefault="00154953" w:rsidP="00B21B24">
      <w:pPr>
        <w:spacing w:after="0" w:line="240" w:lineRule="auto"/>
      </w:pPr>
      <w:r>
        <w:separator/>
      </w:r>
    </w:p>
  </w:footnote>
  <w:footnote w:type="continuationSeparator" w:id="0">
    <w:p w14:paraId="33C8DE12" w14:textId="77777777" w:rsidR="00154953" w:rsidRDefault="00154953" w:rsidP="00B21B24">
      <w:pPr>
        <w:spacing w:after="0" w:line="240" w:lineRule="auto"/>
      </w:pPr>
      <w:r>
        <w:continuationSeparator/>
      </w:r>
    </w:p>
  </w:footnote>
  <w:footnote w:id="1">
    <w:p w14:paraId="51674C68" w14:textId="744DC339" w:rsidR="008B0EE7" w:rsidRPr="00531470" w:rsidRDefault="008B0EE7" w:rsidP="008B0EE7">
      <w:pPr>
        <w:pStyle w:val="FootnoteText"/>
        <w:spacing w:before="0" w:line="240" w:lineRule="auto"/>
        <w:rPr>
          <w:lang w:val="en-US"/>
        </w:rPr>
      </w:pPr>
      <w:r>
        <w:rPr>
          <w:rStyle w:val="FootnoteReference"/>
        </w:rPr>
        <w:footnoteRef/>
      </w:r>
      <w:r>
        <w:t xml:space="preserve"> </w:t>
      </w:r>
      <w:r w:rsidRPr="00531470">
        <w:rPr>
          <w:rFonts w:eastAsiaTheme="minorEastAsia" w:cs="Times New Roman"/>
        </w:rPr>
        <w:t xml:space="preserve">We do not include abnormal cash flow from operations </w:t>
      </w:r>
      <w:r w:rsidR="006E2F21">
        <w:rPr>
          <w:rFonts w:eastAsiaTheme="minorEastAsia" w:cs="Times New Roman"/>
        </w:rPr>
        <w:t>in the aggregate measure</w:t>
      </w:r>
      <w:r w:rsidR="006E2F21" w:rsidRPr="00531470">
        <w:rPr>
          <w:rFonts w:eastAsiaTheme="minorEastAsia" w:cs="Times New Roman"/>
        </w:rPr>
        <w:t xml:space="preserve"> </w:t>
      </w:r>
      <w:r w:rsidRPr="00531470">
        <w:rPr>
          <w:rFonts w:eastAsiaTheme="minorEastAsia" w:cs="Times New Roman"/>
        </w:rPr>
        <w:t xml:space="preserve">because, as Cohen and Zarowin (2010) and Roychowdhury (2006) indicate, the same activities that lead </w:t>
      </w:r>
      <w:r>
        <w:rPr>
          <w:rFonts w:eastAsiaTheme="minorEastAsia" w:cs="Times New Roman"/>
        </w:rPr>
        <w:t>t</w:t>
      </w:r>
      <w:r w:rsidRPr="00531470">
        <w:rPr>
          <w:rFonts w:eastAsiaTheme="minorEastAsia" w:cs="Times New Roman"/>
        </w:rPr>
        <w:t>o abnormally high production costs also lead to abnormally low cash flow from operations</w:t>
      </w:r>
      <w:r w:rsidR="00FA2199">
        <w:rPr>
          <w:rFonts w:eastAsiaTheme="minorEastAsia" w:cs="Times New Roman"/>
        </w:rPr>
        <w:t>.</w:t>
      </w:r>
      <w:r w:rsidRPr="00531470">
        <w:rPr>
          <w:rFonts w:eastAsiaTheme="minorEastAsia" w:cs="Times New Roman"/>
        </w:rPr>
        <w:t xml:space="preserve"> </w:t>
      </w:r>
      <w:r w:rsidR="00FA2199">
        <w:rPr>
          <w:rFonts w:eastAsiaTheme="minorEastAsia" w:cs="Times New Roman"/>
        </w:rPr>
        <w:t>T</w:t>
      </w:r>
      <w:r w:rsidRPr="00531470">
        <w:rPr>
          <w:rFonts w:eastAsiaTheme="minorEastAsia" w:cs="Times New Roman"/>
        </w:rPr>
        <w:t>hus</w:t>
      </w:r>
      <w:r>
        <w:rPr>
          <w:rFonts w:eastAsiaTheme="minorEastAsia" w:cs="Times New Roman"/>
        </w:rPr>
        <w:t>,</w:t>
      </w:r>
      <w:r w:rsidRPr="00531470">
        <w:rPr>
          <w:rFonts w:eastAsiaTheme="minorEastAsia" w:cs="Times New Roman"/>
        </w:rPr>
        <w:t xml:space="preserve"> </w:t>
      </w:r>
      <w:r w:rsidR="00FA2199">
        <w:rPr>
          <w:rFonts w:eastAsiaTheme="minorEastAsia" w:cs="Times New Roman"/>
        </w:rPr>
        <w:t xml:space="preserve">including both </w:t>
      </w:r>
      <w:r w:rsidRPr="00531470">
        <w:rPr>
          <w:rFonts w:eastAsiaTheme="minorEastAsia" w:cs="Times New Roman"/>
        </w:rPr>
        <w:t xml:space="preserve">amounts </w:t>
      </w:r>
      <w:r w:rsidR="00A10D70">
        <w:rPr>
          <w:rFonts w:eastAsiaTheme="minorEastAsia" w:cs="Times New Roman"/>
        </w:rPr>
        <w:t>would result in</w:t>
      </w:r>
      <w:r w:rsidRPr="00531470">
        <w:rPr>
          <w:rFonts w:eastAsiaTheme="minorEastAsia" w:cs="Times New Roman"/>
        </w:rPr>
        <w:t xml:space="preserve"> double counting.</w:t>
      </w:r>
    </w:p>
  </w:footnote>
  <w:footnote w:id="2">
    <w:p w14:paraId="35EC8F0F" w14:textId="1927E410" w:rsidR="007F1FB7" w:rsidRPr="001578CB" w:rsidRDefault="007F1FB7" w:rsidP="001578CB">
      <w:pPr>
        <w:pStyle w:val="FootnoteText"/>
        <w:spacing w:before="0" w:line="240" w:lineRule="auto"/>
        <w:rPr>
          <w:lang w:val="en-NZ"/>
        </w:rPr>
      </w:pPr>
      <w:r>
        <w:rPr>
          <w:rStyle w:val="FootnoteReference"/>
        </w:rPr>
        <w:footnoteRef/>
      </w:r>
      <w:r>
        <w:t xml:space="preserve"> </w:t>
      </w:r>
      <w:r>
        <w:rPr>
          <w:lang w:val="en-NZ"/>
        </w:rPr>
        <w:t xml:space="preserve">Rangan (1998) uses </w:t>
      </w:r>
      <w:r w:rsidR="00E06077">
        <w:rPr>
          <w:lang w:val="en-NZ"/>
        </w:rPr>
        <w:t xml:space="preserve">quarterly data to </w:t>
      </w:r>
      <w:r w:rsidR="001D0BDF">
        <w:rPr>
          <w:lang w:val="en-NZ"/>
        </w:rPr>
        <w:t xml:space="preserve">compute full year market-adjusted return. However, quarterly </w:t>
      </w:r>
      <w:r w:rsidR="00543754">
        <w:rPr>
          <w:lang w:val="en-NZ"/>
        </w:rPr>
        <w:t xml:space="preserve">data </w:t>
      </w:r>
      <w:r w:rsidR="000E1D60">
        <w:rPr>
          <w:lang w:val="en-NZ"/>
        </w:rPr>
        <w:t>is not available for all of our sample</w:t>
      </w:r>
      <w:r w:rsidR="00135FFE">
        <w:rPr>
          <w:lang w:val="en-NZ"/>
        </w:rPr>
        <w:t>. Therefore, we rely on annual data in our computations.</w:t>
      </w:r>
    </w:p>
  </w:footnote>
  <w:footnote w:id="3">
    <w:p w14:paraId="440973FC" w14:textId="2F7FA643" w:rsidR="000F7E80" w:rsidRPr="001578CB" w:rsidRDefault="000F7E80" w:rsidP="001578CB">
      <w:pPr>
        <w:autoSpaceDE w:val="0"/>
        <w:autoSpaceDN w:val="0"/>
        <w:adjustRightInd w:val="0"/>
        <w:spacing w:after="0" w:line="240" w:lineRule="auto"/>
        <w:jc w:val="both"/>
        <w:rPr>
          <w:lang w:val="en-US"/>
        </w:rPr>
      </w:pPr>
      <w:r w:rsidRPr="000F3544">
        <w:rPr>
          <w:rFonts w:ascii="Times New Roman" w:eastAsiaTheme="minorEastAsia" w:hAnsi="Times New Roman" w:cs="Times New Roman"/>
          <w:vertAlign w:val="superscript"/>
        </w:rPr>
        <w:footnoteRef/>
      </w:r>
      <w:r w:rsidRPr="001578CB">
        <w:rPr>
          <w:rFonts w:ascii="Times New Roman" w:eastAsiaTheme="minorEastAsia" w:hAnsi="Times New Roman" w:cs="Times New Roman"/>
          <w:sz w:val="20"/>
          <w:szCs w:val="20"/>
          <w:lang w:val="en-GB"/>
        </w:rPr>
        <w:t xml:space="preserve"> </w:t>
      </w:r>
      <w:r w:rsidR="00CB19EA" w:rsidRPr="001578CB">
        <w:rPr>
          <w:rFonts w:ascii="Times New Roman" w:eastAsiaTheme="minorEastAsia" w:hAnsi="Times New Roman" w:cs="Times New Roman"/>
          <w:sz w:val="20"/>
          <w:szCs w:val="20"/>
          <w:lang w:val="en-GB"/>
        </w:rPr>
        <w:t xml:space="preserve">We acknowledge the limitation inherent in selecting </w:t>
      </w:r>
      <w:r w:rsidR="00CB19EA">
        <w:rPr>
          <w:rFonts w:ascii="Times New Roman" w:eastAsiaTheme="minorEastAsia" w:hAnsi="Times New Roman" w:cs="Times New Roman"/>
          <w:sz w:val="20"/>
          <w:szCs w:val="20"/>
          <w:lang w:val="en-GB"/>
        </w:rPr>
        <w:t>co</w:t>
      </w:r>
      <w:r w:rsidR="008C0B1B">
        <w:rPr>
          <w:rFonts w:ascii="Times New Roman" w:eastAsiaTheme="minorEastAsia" w:hAnsi="Times New Roman" w:cs="Times New Roman"/>
          <w:sz w:val="20"/>
          <w:szCs w:val="20"/>
          <w:lang w:val="en-GB"/>
        </w:rPr>
        <w:t xml:space="preserve">untry-year </w:t>
      </w:r>
      <w:r w:rsidR="00CB19EA" w:rsidRPr="001578CB">
        <w:rPr>
          <w:rFonts w:ascii="Times New Roman" w:eastAsiaTheme="minorEastAsia" w:hAnsi="Times New Roman" w:cs="Times New Roman"/>
          <w:sz w:val="20"/>
          <w:szCs w:val="20"/>
          <w:lang w:val="en-GB"/>
        </w:rPr>
        <w:t>average as the instrument. Larcker and Rusticus (2010) suggest</w:t>
      </w:r>
      <w:r w:rsidR="004F1512">
        <w:rPr>
          <w:rFonts w:ascii="Times New Roman" w:eastAsiaTheme="minorEastAsia" w:hAnsi="Times New Roman" w:cs="Times New Roman"/>
          <w:sz w:val="20"/>
          <w:szCs w:val="20"/>
          <w:lang w:val="en-GB"/>
        </w:rPr>
        <w:t xml:space="preserve"> </w:t>
      </w:r>
      <w:r w:rsidR="00CB19EA" w:rsidRPr="001578CB">
        <w:rPr>
          <w:rFonts w:ascii="Times New Roman" w:eastAsiaTheme="minorEastAsia" w:hAnsi="Times New Roman" w:cs="Times New Roman"/>
          <w:sz w:val="20"/>
          <w:szCs w:val="20"/>
          <w:lang w:val="en-GB"/>
        </w:rPr>
        <w:t xml:space="preserve">that </w:t>
      </w:r>
      <w:r w:rsidR="005169D1">
        <w:rPr>
          <w:rFonts w:ascii="Times New Roman" w:eastAsiaTheme="minorEastAsia" w:hAnsi="Times New Roman" w:cs="Times New Roman"/>
          <w:sz w:val="20"/>
          <w:szCs w:val="20"/>
          <w:lang w:val="en-GB"/>
        </w:rPr>
        <w:t xml:space="preserve">empirical accounting studies </w:t>
      </w:r>
      <w:r w:rsidR="00CB19EA" w:rsidRPr="001578CB">
        <w:rPr>
          <w:rFonts w:ascii="Times New Roman" w:eastAsiaTheme="minorEastAsia" w:hAnsi="Times New Roman" w:cs="Times New Roman"/>
          <w:sz w:val="20"/>
          <w:szCs w:val="20"/>
          <w:lang w:val="en-GB"/>
        </w:rPr>
        <w:t xml:space="preserve">often </w:t>
      </w:r>
      <w:r w:rsidR="00FC47F8">
        <w:rPr>
          <w:rFonts w:ascii="Times New Roman" w:eastAsiaTheme="minorEastAsia" w:hAnsi="Times New Roman" w:cs="Times New Roman"/>
          <w:sz w:val="20"/>
          <w:szCs w:val="20"/>
          <w:lang w:val="en-GB"/>
        </w:rPr>
        <w:t xml:space="preserve">address endogeneity concerns using </w:t>
      </w:r>
      <w:r w:rsidR="00CB19EA" w:rsidRPr="001578CB">
        <w:rPr>
          <w:rFonts w:ascii="Times New Roman" w:eastAsiaTheme="minorEastAsia" w:hAnsi="Times New Roman" w:cs="Times New Roman"/>
          <w:sz w:val="20"/>
          <w:szCs w:val="20"/>
          <w:lang w:val="en-GB"/>
        </w:rPr>
        <w:t xml:space="preserve">regulatory changes as a quasi-experiment. However, owing to the </w:t>
      </w:r>
      <w:r w:rsidR="00E251D3">
        <w:rPr>
          <w:rFonts w:ascii="Times New Roman" w:eastAsiaTheme="minorEastAsia" w:hAnsi="Times New Roman" w:cs="Times New Roman"/>
          <w:sz w:val="20"/>
          <w:szCs w:val="20"/>
          <w:lang w:val="en-GB"/>
        </w:rPr>
        <w:t>cross-country</w:t>
      </w:r>
      <w:r w:rsidR="00CB19EA" w:rsidRPr="001578CB">
        <w:rPr>
          <w:rFonts w:ascii="Times New Roman" w:eastAsiaTheme="minorEastAsia" w:hAnsi="Times New Roman" w:cs="Times New Roman"/>
          <w:sz w:val="20"/>
          <w:szCs w:val="20"/>
          <w:lang w:val="en-GB"/>
        </w:rPr>
        <w:t xml:space="preserve"> nature</w:t>
      </w:r>
      <w:r w:rsidR="004F1512">
        <w:rPr>
          <w:rFonts w:ascii="Times New Roman" w:eastAsiaTheme="minorEastAsia" w:hAnsi="Times New Roman" w:cs="Times New Roman"/>
          <w:sz w:val="20"/>
          <w:szCs w:val="20"/>
          <w:lang w:val="en-GB"/>
        </w:rPr>
        <w:t xml:space="preserve"> </w:t>
      </w:r>
      <w:r w:rsidR="00CB19EA" w:rsidRPr="001578CB">
        <w:rPr>
          <w:rFonts w:ascii="Times New Roman" w:eastAsiaTheme="minorEastAsia" w:hAnsi="Times New Roman" w:cs="Times New Roman"/>
          <w:sz w:val="20"/>
          <w:szCs w:val="20"/>
          <w:lang w:val="en-GB"/>
        </w:rPr>
        <w:t>of our study, we could not identify a universal regulatory shock.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76C5"/>
    <w:multiLevelType w:val="hybridMultilevel"/>
    <w:tmpl w:val="9A4004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42A5E81"/>
    <w:multiLevelType w:val="hybridMultilevel"/>
    <w:tmpl w:val="F524FF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0923956">
    <w:abstractNumId w:val="0"/>
  </w:num>
  <w:num w:numId="2" w16cid:durableId="156252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tzQ0NDcwMbQwMjRV0lEKTi0uzszPAymwNKgFAMuWLEotAAAA"/>
  </w:docVars>
  <w:rsids>
    <w:rsidRoot w:val="004D44C6"/>
    <w:rsid w:val="000001C9"/>
    <w:rsid w:val="000001F2"/>
    <w:rsid w:val="00000947"/>
    <w:rsid w:val="00000B22"/>
    <w:rsid w:val="00000B7C"/>
    <w:rsid w:val="00000DB6"/>
    <w:rsid w:val="00000FC9"/>
    <w:rsid w:val="0000135D"/>
    <w:rsid w:val="00001505"/>
    <w:rsid w:val="000015EE"/>
    <w:rsid w:val="00001A3F"/>
    <w:rsid w:val="00001A8F"/>
    <w:rsid w:val="00001BF1"/>
    <w:rsid w:val="00001C25"/>
    <w:rsid w:val="00001CF6"/>
    <w:rsid w:val="000029CF"/>
    <w:rsid w:val="00002DEE"/>
    <w:rsid w:val="00002F62"/>
    <w:rsid w:val="00003011"/>
    <w:rsid w:val="000033A3"/>
    <w:rsid w:val="0000349F"/>
    <w:rsid w:val="00003642"/>
    <w:rsid w:val="00003BB5"/>
    <w:rsid w:val="00004806"/>
    <w:rsid w:val="000051F7"/>
    <w:rsid w:val="00005214"/>
    <w:rsid w:val="000052F4"/>
    <w:rsid w:val="00005783"/>
    <w:rsid w:val="00005855"/>
    <w:rsid w:val="00005D32"/>
    <w:rsid w:val="000061D5"/>
    <w:rsid w:val="000062AA"/>
    <w:rsid w:val="000062F0"/>
    <w:rsid w:val="00006499"/>
    <w:rsid w:val="00006663"/>
    <w:rsid w:val="000066F3"/>
    <w:rsid w:val="0000693C"/>
    <w:rsid w:val="000079FE"/>
    <w:rsid w:val="00007A37"/>
    <w:rsid w:val="00007BC4"/>
    <w:rsid w:val="00007CD9"/>
    <w:rsid w:val="00007D16"/>
    <w:rsid w:val="00007D8F"/>
    <w:rsid w:val="00010255"/>
    <w:rsid w:val="00010388"/>
    <w:rsid w:val="000104CC"/>
    <w:rsid w:val="0001057D"/>
    <w:rsid w:val="00011929"/>
    <w:rsid w:val="00011C46"/>
    <w:rsid w:val="00011D24"/>
    <w:rsid w:val="000120A8"/>
    <w:rsid w:val="000121C3"/>
    <w:rsid w:val="000121E2"/>
    <w:rsid w:val="0001256B"/>
    <w:rsid w:val="000125E4"/>
    <w:rsid w:val="000125EA"/>
    <w:rsid w:val="0001269F"/>
    <w:rsid w:val="00012C22"/>
    <w:rsid w:val="0001307D"/>
    <w:rsid w:val="0001315A"/>
    <w:rsid w:val="00013348"/>
    <w:rsid w:val="00013965"/>
    <w:rsid w:val="000139BD"/>
    <w:rsid w:val="00013AB1"/>
    <w:rsid w:val="00013F27"/>
    <w:rsid w:val="0001404D"/>
    <w:rsid w:val="0001409F"/>
    <w:rsid w:val="00014537"/>
    <w:rsid w:val="00014798"/>
    <w:rsid w:val="00014A4E"/>
    <w:rsid w:val="00014B9D"/>
    <w:rsid w:val="00014C4D"/>
    <w:rsid w:val="00014FF4"/>
    <w:rsid w:val="00015228"/>
    <w:rsid w:val="000152C6"/>
    <w:rsid w:val="000152E6"/>
    <w:rsid w:val="000153AC"/>
    <w:rsid w:val="0001543F"/>
    <w:rsid w:val="000154CB"/>
    <w:rsid w:val="000155D9"/>
    <w:rsid w:val="00015629"/>
    <w:rsid w:val="000159DD"/>
    <w:rsid w:val="00015B36"/>
    <w:rsid w:val="00015E22"/>
    <w:rsid w:val="0001621A"/>
    <w:rsid w:val="00016297"/>
    <w:rsid w:val="000164BF"/>
    <w:rsid w:val="00016DB3"/>
    <w:rsid w:val="00017028"/>
    <w:rsid w:val="0001710A"/>
    <w:rsid w:val="00017448"/>
    <w:rsid w:val="000175D4"/>
    <w:rsid w:val="000179D5"/>
    <w:rsid w:val="000200C3"/>
    <w:rsid w:val="00020260"/>
    <w:rsid w:val="0002046B"/>
    <w:rsid w:val="00020743"/>
    <w:rsid w:val="00020865"/>
    <w:rsid w:val="00020C64"/>
    <w:rsid w:val="00020E6E"/>
    <w:rsid w:val="00021202"/>
    <w:rsid w:val="000212F9"/>
    <w:rsid w:val="000213CF"/>
    <w:rsid w:val="00021622"/>
    <w:rsid w:val="0002194E"/>
    <w:rsid w:val="00021BBB"/>
    <w:rsid w:val="00021D0F"/>
    <w:rsid w:val="00021F32"/>
    <w:rsid w:val="00022205"/>
    <w:rsid w:val="0002236B"/>
    <w:rsid w:val="00022801"/>
    <w:rsid w:val="000228F3"/>
    <w:rsid w:val="00022D11"/>
    <w:rsid w:val="00023297"/>
    <w:rsid w:val="00023491"/>
    <w:rsid w:val="00023517"/>
    <w:rsid w:val="00023BBD"/>
    <w:rsid w:val="00023FF4"/>
    <w:rsid w:val="00024371"/>
    <w:rsid w:val="000245E9"/>
    <w:rsid w:val="000249AE"/>
    <w:rsid w:val="00024B2C"/>
    <w:rsid w:val="000256EE"/>
    <w:rsid w:val="00025706"/>
    <w:rsid w:val="00025938"/>
    <w:rsid w:val="00026A6D"/>
    <w:rsid w:val="00026A7D"/>
    <w:rsid w:val="00026FB3"/>
    <w:rsid w:val="000272B2"/>
    <w:rsid w:val="000273F5"/>
    <w:rsid w:val="00027A48"/>
    <w:rsid w:val="00030130"/>
    <w:rsid w:val="00030195"/>
    <w:rsid w:val="000308D0"/>
    <w:rsid w:val="00030926"/>
    <w:rsid w:val="00030AB5"/>
    <w:rsid w:val="00030AEA"/>
    <w:rsid w:val="00031495"/>
    <w:rsid w:val="00031504"/>
    <w:rsid w:val="0003170B"/>
    <w:rsid w:val="00031F4A"/>
    <w:rsid w:val="00032303"/>
    <w:rsid w:val="000323D5"/>
    <w:rsid w:val="0003240A"/>
    <w:rsid w:val="000328EC"/>
    <w:rsid w:val="00033207"/>
    <w:rsid w:val="00033301"/>
    <w:rsid w:val="00033428"/>
    <w:rsid w:val="00033E93"/>
    <w:rsid w:val="00033F46"/>
    <w:rsid w:val="00033FAD"/>
    <w:rsid w:val="00034046"/>
    <w:rsid w:val="00034483"/>
    <w:rsid w:val="00034926"/>
    <w:rsid w:val="00034D83"/>
    <w:rsid w:val="00034F4B"/>
    <w:rsid w:val="00034FC0"/>
    <w:rsid w:val="00035039"/>
    <w:rsid w:val="0003545F"/>
    <w:rsid w:val="0003571A"/>
    <w:rsid w:val="00035ADB"/>
    <w:rsid w:val="00035C72"/>
    <w:rsid w:val="000361E1"/>
    <w:rsid w:val="000367C3"/>
    <w:rsid w:val="00036BDD"/>
    <w:rsid w:val="000375F5"/>
    <w:rsid w:val="00037638"/>
    <w:rsid w:val="0003795F"/>
    <w:rsid w:val="0004093C"/>
    <w:rsid w:val="0004099A"/>
    <w:rsid w:val="000413C9"/>
    <w:rsid w:val="0004188A"/>
    <w:rsid w:val="0004188D"/>
    <w:rsid w:val="00041EAB"/>
    <w:rsid w:val="00042147"/>
    <w:rsid w:val="000421BA"/>
    <w:rsid w:val="000424E3"/>
    <w:rsid w:val="000424E6"/>
    <w:rsid w:val="000426F7"/>
    <w:rsid w:val="00042F31"/>
    <w:rsid w:val="00043121"/>
    <w:rsid w:val="00043295"/>
    <w:rsid w:val="000434C3"/>
    <w:rsid w:val="00043571"/>
    <w:rsid w:val="0004379F"/>
    <w:rsid w:val="000438A1"/>
    <w:rsid w:val="00044026"/>
    <w:rsid w:val="00044182"/>
    <w:rsid w:val="0004442B"/>
    <w:rsid w:val="0004443A"/>
    <w:rsid w:val="00044509"/>
    <w:rsid w:val="000449C7"/>
    <w:rsid w:val="0004570C"/>
    <w:rsid w:val="000458C1"/>
    <w:rsid w:val="00045954"/>
    <w:rsid w:val="00045A8E"/>
    <w:rsid w:val="00045B93"/>
    <w:rsid w:val="00045D80"/>
    <w:rsid w:val="00045EDF"/>
    <w:rsid w:val="0004669C"/>
    <w:rsid w:val="0004730D"/>
    <w:rsid w:val="00050169"/>
    <w:rsid w:val="000505C2"/>
    <w:rsid w:val="000507A5"/>
    <w:rsid w:val="0005148B"/>
    <w:rsid w:val="000515D6"/>
    <w:rsid w:val="00051683"/>
    <w:rsid w:val="00051891"/>
    <w:rsid w:val="00051DAE"/>
    <w:rsid w:val="000520D7"/>
    <w:rsid w:val="000520E2"/>
    <w:rsid w:val="00052650"/>
    <w:rsid w:val="00052743"/>
    <w:rsid w:val="00052A66"/>
    <w:rsid w:val="00052E4B"/>
    <w:rsid w:val="00052F8D"/>
    <w:rsid w:val="00053682"/>
    <w:rsid w:val="000539FB"/>
    <w:rsid w:val="00053CE7"/>
    <w:rsid w:val="000541CC"/>
    <w:rsid w:val="00054748"/>
    <w:rsid w:val="00054E52"/>
    <w:rsid w:val="00055A37"/>
    <w:rsid w:val="0005606E"/>
    <w:rsid w:val="0005621A"/>
    <w:rsid w:val="00056619"/>
    <w:rsid w:val="000567B5"/>
    <w:rsid w:val="00056A70"/>
    <w:rsid w:val="00056F62"/>
    <w:rsid w:val="00057D70"/>
    <w:rsid w:val="00057D93"/>
    <w:rsid w:val="00057F11"/>
    <w:rsid w:val="000601B0"/>
    <w:rsid w:val="000602C7"/>
    <w:rsid w:val="00060366"/>
    <w:rsid w:val="0006091E"/>
    <w:rsid w:val="00060970"/>
    <w:rsid w:val="000609A5"/>
    <w:rsid w:val="00060A4B"/>
    <w:rsid w:val="00060B77"/>
    <w:rsid w:val="00060C7C"/>
    <w:rsid w:val="000610F8"/>
    <w:rsid w:val="00061139"/>
    <w:rsid w:val="00061CEF"/>
    <w:rsid w:val="00061D03"/>
    <w:rsid w:val="00061F72"/>
    <w:rsid w:val="000621CD"/>
    <w:rsid w:val="00062C3F"/>
    <w:rsid w:val="00062C7E"/>
    <w:rsid w:val="00064780"/>
    <w:rsid w:val="0006498F"/>
    <w:rsid w:val="00064C5F"/>
    <w:rsid w:val="000650C7"/>
    <w:rsid w:val="0006540D"/>
    <w:rsid w:val="000655E8"/>
    <w:rsid w:val="000656F8"/>
    <w:rsid w:val="00065846"/>
    <w:rsid w:val="00065BA3"/>
    <w:rsid w:val="0006617F"/>
    <w:rsid w:val="00066DAF"/>
    <w:rsid w:val="00066EBB"/>
    <w:rsid w:val="000670F6"/>
    <w:rsid w:val="0006774C"/>
    <w:rsid w:val="000678CB"/>
    <w:rsid w:val="00067923"/>
    <w:rsid w:val="00067A0B"/>
    <w:rsid w:val="00067AB7"/>
    <w:rsid w:val="00067BB5"/>
    <w:rsid w:val="00067E45"/>
    <w:rsid w:val="00067E71"/>
    <w:rsid w:val="00071273"/>
    <w:rsid w:val="00071293"/>
    <w:rsid w:val="00071867"/>
    <w:rsid w:val="00071BB9"/>
    <w:rsid w:val="00072E28"/>
    <w:rsid w:val="000738B2"/>
    <w:rsid w:val="00073F09"/>
    <w:rsid w:val="00074134"/>
    <w:rsid w:val="0007423D"/>
    <w:rsid w:val="00074279"/>
    <w:rsid w:val="000743B6"/>
    <w:rsid w:val="000744B1"/>
    <w:rsid w:val="00074547"/>
    <w:rsid w:val="00075072"/>
    <w:rsid w:val="000759A7"/>
    <w:rsid w:val="00075BD9"/>
    <w:rsid w:val="0007655E"/>
    <w:rsid w:val="000768DA"/>
    <w:rsid w:val="00076B42"/>
    <w:rsid w:val="00077524"/>
    <w:rsid w:val="0007763B"/>
    <w:rsid w:val="000777E5"/>
    <w:rsid w:val="00077EA7"/>
    <w:rsid w:val="0008036A"/>
    <w:rsid w:val="00080440"/>
    <w:rsid w:val="00080642"/>
    <w:rsid w:val="00080671"/>
    <w:rsid w:val="000809BB"/>
    <w:rsid w:val="00080C03"/>
    <w:rsid w:val="00080EB3"/>
    <w:rsid w:val="00080F0A"/>
    <w:rsid w:val="000814F1"/>
    <w:rsid w:val="00081B3D"/>
    <w:rsid w:val="00081E46"/>
    <w:rsid w:val="00082211"/>
    <w:rsid w:val="00082A4B"/>
    <w:rsid w:val="00082B1F"/>
    <w:rsid w:val="00082F04"/>
    <w:rsid w:val="0008309D"/>
    <w:rsid w:val="00083319"/>
    <w:rsid w:val="00083A43"/>
    <w:rsid w:val="0008452F"/>
    <w:rsid w:val="00084905"/>
    <w:rsid w:val="00084CBA"/>
    <w:rsid w:val="00084F5B"/>
    <w:rsid w:val="00086845"/>
    <w:rsid w:val="00086E69"/>
    <w:rsid w:val="00086EE4"/>
    <w:rsid w:val="00087033"/>
    <w:rsid w:val="0008724B"/>
    <w:rsid w:val="00087395"/>
    <w:rsid w:val="0008751A"/>
    <w:rsid w:val="0008797F"/>
    <w:rsid w:val="00090364"/>
    <w:rsid w:val="0009044B"/>
    <w:rsid w:val="00090466"/>
    <w:rsid w:val="000904C0"/>
    <w:rsid w:val="000906A7"/>
    <w:rsid w:val="0009090F"/>
    <w:rsid w:val="0009097F"/>
    <w:rsid w:val="00090B45"/>
    <w:rsid w:val="00090C8C"/>
    <w:rsid w:val="00090F6B"/>
    <w:rsid w:val="00091058"/>
    <w:rsid w:val="0009119E"/>
    <w:rsid w:val="00092066"/>
    <w:rsid w:val="000921BA"/>
    <w:rsid w:val="000922A0"/>
    <w:rsid w:val="000925CA"/>
    <w:rsid w:val="00092963"/>
    <w:rsid w:val="00092A6F"/>
    <w:rsid w:val="00093083"/>
    <w:rsid w:val="0009328F"/>
    <w:rsid w:val="0009361E"/>
    <w:rsid w:val="000937E4"/>
    <w:rsid w:val="000940C5"/>
    <w:rsid w:val="0009447B"/>
    <w:rsid w:val="00094C8B"/>
    <w:rsid w:val="00094CA0"/>
    <w:rsid w:val="0009515C"/>
    <w:rsid w:val="000951C9"/>
    <w:rsid w:val="000955BD"/>
    <w:rsid w:val="0009560C"/>
    <w:rsid w:val="00096673"/>
    <w:rsid w:val="00096ED9"/>
    <w:rsid w:val="00097BFC"/>
    <w:rsid w:val="00097F80"/>
    <w:rsid w:val="000A0046"/>
    <w:rsid w:val="000A022A"/>
    <w:rsid w:val="000A0979"/>
    <w:rsid w:val="000A0AF2"/>
    <w:rsid w:val="000A0CF3"/>
    <w:rsid w:val="000A1256"/>
    <w:rsid w:val="000A1628"/>
    <w:rsid w:val="000A1884"/>
    <w:rsid w:val="000A1D09"/>
    <w:rsid w:val="000A1DFA"/>
    <w:rsid w:val="000A211A"/>
    <w:rsid w:val="000A2239"/>
    <w:rsid w:val="000A2730"/>
    <w:rsid w:val="000A27CA"/>
    <w:rsid w:val="000A27E3"/>
    <w:rsid w:val="000A2810"/>
    <w:rsid w:val="000A2A14"/>
    <w:rsid w:val="000A2D1F"/>
    <w:rsid w:val="000A2E14"/>
    <w:rsid w:val="000A3099"/>
    <w:rsid w:val="000A30BE"/>
    <w:rsid w:val="000A326B"/>
    <w:rsid w:val="000A34CA"/>
    <w:rsid w:val="000A3EB2"/>
    <w:rsid w:val="000A4096"/>
    <w:rsid w:val="000A4251"/>
    <w:rsid w:val="000A4477"/>
    <w:rsid w:val="000A4478"/>
    <w:rsid w:val="000A45F4"/>
    <w:rsid w:val="000A539E"/>
    <w:rsid w:val="000A54AC"/>
    <w:rsid w:val="000A6088"/>
    <w:rsid w:val="000A6300"/>
    <w:rsid w:val="000A6825"/>
    <w:rsid w:val="000A6E4B"/>
    <w:rsid w:val="000A6E8C"/>
    <w:rsid w:val="000A6EE2"/>
    <w:rsid w:val="000A76CF"/>
    <w:rsid w:val="000A78A7"/>
    <w:rsid w:val="000A7BEA"/>
    <w:rsid w:val="000B0011"/>
    <w:rsid w:val="000B00E8"/>
    <w:rsid w:val="000B023F"/>
    <w:rsid w:val="000B04F1"/>
    <w:rsid w:val="000B06C8"/>
    <w:rsid w:val="000B075C"/>
    <w:rsid w:val="000B0973"/>
    <w:rsid w:val="000B0B0C"/>
    <w:rsid w:val="000B103E"/>
    <w:rsid w:val="000B1222"/>
    <w:rsid w:val="000B1DA4"/>
    <w:rsid w:val="000B243E"/>
    <w:rsid w:val="000B2630"/>
    <w:rsid w:val="000B2BE7"/>
    <w:rsid w:val="000B30A3"/>
    <w:rsid w:val="000B3487"/>
    <w:rsid w:val="000B3E93"/>
    <w:rsid w:val="000B4757"/>
    <w:rsid w:val="000B4FBC"/>
    <w:rsid w:val="000B5152"/>
    <w:rsid w:val="000B517E"/>
    <w:rsid w:val="000B573C"/>
    <w:rsid w:val="000B5845"/>
    <w:rsid w:val="000B5851"/>
    <w:rsid w:val="000B5E1C"/>
    <w:rsid w:val="000B5E96"/>
    <w:rsid w:val="000B5FAA"/>
    <w:rsid w:val="000B61A6"/>
    <w:rsid w:val="000B6411"/>
    <w:rsid w:val="000B6821"/>
    <w:rsid w:val="000B7239"/>
    <w:rsid w:val="000B724B"/>
    <w:rsid w:val="000B73E4"/>
    <w:rsid w:val="000B7B4D"/>
    <w:rsid w:val="000C0157"/>
    <w:rsid w:val="000C017C"/>
    <w:rsid w:val="000C02C5"/>
    <w:rsid w:val="000C04B3"/>
    <w:rsid w:val="000C04CD"/>
    <w:rsid w:val="000C091A"/>
    <w:rsid w:val="000C0EED"/>
    <w:rsid w:val="000C12C9"/>
    <w:rsid w:val="000C14C6"/>
    <w:rsid w:val="000C1619"/>
    <w:rsid w:val="000C1744"/>
    <w:rsid w:val="000C1A40"/>
    <w:rsid w:val="000C1EC9"/>
    <w:rsid w:val="000C1F54"/>
    <w:rsid w:val="000C236C"/>
    <w:rsid w:val="000C26B3"/>
    <w:rsid w:val="000C2A10"/>
    <w:rsid w:val="000C2C25"/>
    <w:rsid w:val="000C2C84"/>
    <w:rsid w:val="000C2CE3"/>
    <w:rsid w:val="000C3088"/>
    <w:rsid w:val="000C3847"/>
    <w:rsid w:val="000C3D28"/>
    <w:rsid w:val="000C4F61"/>
    <w:rsid w:val="000C55A5"/>
    <w:rsid w:val="000C56B7"/>
    <w:rsid w:val="000C5794"/>
    <w:rsid w:val="000C5938"/>
    <w:rsid w:val="000C598C"/>
    <w:rsid w:val="000C5CA5"/>
    <w:rsid w:val="000C5E43"/>
    <w:rsid w:val="000C6718"/>
    <w:rsid w:val="000C6B8C"/>
    <w:rsid w:val="000C71CA"/>
    <w:rsid w:val="000C7521"/>
    <w:rsid w:val="000C7791"/>
    <w:rsid w:val="000C77AB"/>
    <w:rsid w:val="000C77F1"/>
    <w:rsid w:val="000C7F42"/>
    <w:rsid w:val="000D0281"/>
    <w:rsid w:val="000D0A17"/>
    <w:rsid w:val="000D0EAA"/>
    <w:rsid w:val="000D0FF4"/>
    <w:rsid w:val="000D1603"/>
    <w:rsid w:val="000D1B8F"/>
    <w:rsid w:val="000D1EA3"/>
    <w:rsid w:val="000D225A"/>
    <w:rsid w:val="000D2301"/>
    <w:rsid w:val="000D2D30"/>
    <w:rsid w:val="000D2E81"/>
    <w:rsid w:val="000D34DD"/>
    <w:rsid w:val="000D39FE"/>
    <w:rsid w:val="000D3B02"/>
    <w:rsid w:val="000D408E"/>
    <w:rsid w:val="000D4743"/>
    <w:rsid w:val="000D5678"/>
    <w:rsid w:val="000D62BB"/>
    <w:rsid w:val="000D6309"/>
    <w:rsid w:val="000D6A8C"/>
    <w:rsid w:val="000D7138"/>
    <w:rsid w:val="000D7261"/>
    <w:rsid w:val="000D7360"/>
    <w:rsid w:val="000D73D3"/>
    <w:rsid w:val="000D7B8B"/>
    <w:rsid w:val="000E0070"/>
    <w:rsid w:val="000E0142"/>
    <w:rsid w:val="000E021A"/>
    <w:rsid w:val="000E062E"/>
    <w:rsid w:val="000E0D81"/>
    <w:rsid w:val="000E1318"/>
    <w:rsid w:val="000E15CE"/>
    <w:rsid w:val="000E1C06"/>
    <w:rsid w:val="000E1D60"/>
    <w:rsid w:val="000E1FBA"/>
    <w:rsid w:val="000E203A"/>
    <w:rsid w:val="000E21A3"/>
    <w:rsid w:val="000E268D"/>
    <w:rsid w:val="000E2A3B"/>
    <w:rsid w:val="000E32AC"/>
    <w:rsid w:val="000E40EC"/>
    <w:rsid w:val="000E4126"/>
    <w:rsid w:val="000E41F8"/>
    <w:rsid w:val="000E4DB7"/>
    <w:rsid w:val="000E53A7"/>
    <w:rsid w:val="000E543F"/>
    <w:rsid w:val="000E5456"/>
    <w:rsid w:val="000E5796"/>
    <w:rsid w:val="000E5B51"/>
    <w:rsid w:val="000E5D47"/>
    <w:rsid w:val="000E5E23"/>
    <w:rsid w:val="000E6011"/>
    <w:rsid w:val="000E67E4"/>
    <w:rsid w:val="000E6953"/>
    <w:rsid w:val="000E7110"/>
    <w:rsid w:val="000E7A31"/>
    <w:rsid w:val="000E7A46"/>
    <w:rsid w:val="000E7C8E"/>
    <w:rsid w:val="000E7DF3"/>
    <w:rsid w:val="000F007B"/>
    <w:rsid w:val="000F0584"/>
    <w:rsid w:val="000F0626"/>
    <w:rsid w:val="000F0A82"/>
    <w:rsid w:val="000F0C48"/>
    <w:rsid w:val="000F10D3"/>
    <w:rsid w:val="000F1587"/>
    <w:rsid w:val="000F16E1"/>
    <w:rsid w:val="000F2638"/>
    <w:rsid w:val="000F2C9D"/>
    <w:rsid w:val="000F2D8A"/>
    <w:rsid w:val="000F329C"/>
    <w:rsid w:val="000F3544"/>
    <w:rsid w:val="000F3730"/>
    <w:rsid w:val="000F37A9"/>
    <w:rsid w:val="000F38AB"/>
    <w:rsid w:val="000F39F7"/>
    <w:rsid w:val="000F3CEC"/>
    <w:rsid w:val="000F406C"/>
    <w:rsid w:val="000F453D"/>
    <w:rsid w:val="000F466E"/>
    <w:rsid w:val="000F46A9"/>
    <w:rsid w:val="000F4950"/>
    <w:rsid w:val="000F4A7D"/>
    <w:rsid w:val="000F4D40"/>
    <w:rsid w:val="000F4EA4"/>
    <w:rsid w:val="000F5504"/>
    <w:rsid w:val="000F556A"/>
    <w:rsid w:val="000F56DA"/>
    <w:rsid w:val="000F594B"/>
    <w:rsid w:val="000F66D1"/>
    <w:rsid w:val="000F6AF7"/>
    <w:rsid w:val="000F70D1"/>
    <w:rsid w:val="000F7E0B"/>
    <w:rsid w:val="000F7E6F"/>
    <w:rsid w:val="000F7E80"/>
    <w:rsid w:val="00100D0D"/>
    <w:rsid w:val="00100F26"/>
    <w:rsid w:val="001017AF"/>
    <w:rsid w:val="0010182F"/>
    <w:rsid w:val="00101B6B"/>
    <w:rsid w:val="00101DBB"/>
    <w:rsid w:val="00101DBE"/>
    <w:rsid w:val="00102372"/>
    <w:rsid w:val="0010247B"/>
    <w:rsid w:val="0010249F"/>
    <w:rsid w:val="00102650"/>
    <w:rsid w:val="00102653"/>
    <w:rsid w:val="0010287A"/>
    <w:rsid w:val="001029D9"/>
    <w:rsid w:val="00102C72"/>
    <w:rsid w:val="00102F53"/>
    <w:rsid w:val="001031B5"/>
    <w:rsid w:val="00103323"/>
    <w:rsid w:val="00103409"/>
    <w:rsid w:val="00103AB1"/>
    <w:rsid w:val="00103EE5"/>
    <w:rsid w:val="001041D9"/>
    <w:rsid w:val="00104483"/>
    <w:rsid w:val="001044B5"/>
    <w:rsid w:val="00104A95"/>
    <w:rsid w:val="00104AA7"/>
    <w:rsid w:val="001050C1"/>
    <w:rsid w:val="001050C3"/>
    <w:rsid w:val="001054E3"/>
    <w:rsid w:val="0010551A"/>
    <w:rsid w:val="0010594E"/>
    <w:rsid w:val="00106014"/>
    <w:rsid w:val="00106189"/>
    <w:rsid w:val="00106529"/>
    <w:rsid w:val="001066FF"/>
    <w:rsid w:val="00106984"/>
    <w:rsid w:val="00106E63"/>
    <w:rsid w:val="00107210"/>
    <w:rsid w:val="0010751F"/>
    <w:rsid w:val="0010763B"/>
    <w:rsid w:val="001076E0"/>
    <w:rsid w:val="001108C1"/>
    <w:rsid w:val="001109C8"/>
    <w:rsid w:val="001109DB"/>
    <w:rsid w:val="00110B7C"/>
    <w:rsid w:val="00110BF2"/>
    <w:rsid w:val="001111C2"/>
    <w:rsid w:val="001113D1"/>
    <w:rsid w:val="0011149E"/>
    <w:rsid w:val="00111C02"/>
    <w:rsid w:val="00111CA5"/>
    <w:rsid w:val="00111F7B"/>
    <w:rsid w:val="00113258"/>
    <w:rsid w:val="00113567"/>
    <w:rsid w:val="00113B4B"/>
    <w:rsid w:val="00113C61"/>
    <w:rsid w:val="00113E1E"/>
    <w:rsid w:val="00113E8B"/>
    <w:rsid w:val="00114446"/>
    <w:rsid w:val="00114C92"/>
    <w:rsid w:val="001156E7"/>
    <w:rsid w:val="00116105"/>
    <w:rsid w:val="00116496"/>
    <w:rsid w:val="00116ACF"/>
    <w:rsid w:val="00116ECE"/>
    <w:rsid w:val="00116F86"/>
    <w:rsid w:val="001170DB"/>
    <w:rsid w:val="001175E5"/>
    <w:rsid w:val="001178E9"/>
    <w:rsid w:val="00117A67"/>
    <w:rsid w:val="001200A9"/>
    <w:rsid w:val="00120294"/>
    <w:rsid w:val="001208DA"/>
    <w:rsid w:val="001209CF"/>
    <w:rsid w:val="001209F7"/>
    <w:rsid w:val="00120A02"/>
    <w:rsid w:val="00120E20"/>
    <w:rsid w:val="001210AF"/>
    <w:rsid w:val="001210CD"/>
    <w:rsid w:val="0012110E"/>
    <w:rsid w:val="00121155"/>
    <w:rsid w:val="00121879"/>
    <w:rsid w:val="0012275A"/>
    <w:rsid w:val="00122883"/>
    <w:rsid w:val="001229CD"/>
    <w:rsid w:val="00122A70"/>
    <w:rsid w:val="00122B11"/>
    <w:rsid w:val="00122B6E"/>
    <w:rsid w:val="00122FA4"/>
    <w:rsid w:val="001233D8"/>
    <w:rsid w:val="0012374E"/>
    <w:rsid w:val="00123A52"/>
    <w:rsid w:val="00123A86"/>
    <w:rsid w:val="00123D31"/>
    <w:rsid w:val="0012431E"/>
    <w:rsid w:val="00124537"/>
    <w:rsid w:val="00124BA1"/>
    <w:rsid w:val="00124BF4"/>
    <w:rsid w:val="00124C74"/>
    <w:rsid w:val="00124E16"/>
    <w:rsid w:val="00125057"/>
    <w:rsid w:val="0012513A"/>
    <w:rsid w:val="00125A7A"/>
    <w:rsid w:val="00125E55"/>
    <w:rsid w:val="00125E95"/>
    <w:rsid w:val="00126164"/>
    <w:rsid w:val="001262F5"/>
    <w:rsid w:val="001265A3"/>
    <w:rsid w:val="001266F4"/>
    <w:rsid w:val="001269F4"/>
    <w:rsid w:val="00126ADE"/>
    <w:rsid w:val="00127516"/>
    <w:rsid w:val="001275C4"/>
    <w:rsid w:val="001277A0"/>
    <w:rsid w:val="00127F0A"/>
    <w:rsid w:val="0013003E"/>
    <w:rsid w:val="00130322"/>
    <w:rsid w:val="00130626"/>
    <w:rsid w:val="001307B8"/>
    <w:rsid w:val="00130E1E"/>
    <w:rsid w:val="00131A14"/>
    <w:rsid w:val="00131C79"/>
    <w:rsid w:val="0013227A"/>
    <w:rsid w:val="0013261E"/>
    <w:rsid w:val="001327E0"/>
    <w:rsid w:val="00132CCF"/>
    <w:rsid w:val="00132E97"/>
    <w:rsid w:val="00132F59"/>
    <w:rsid w:val="00132F6B"/>
    <w:rsid w:val="001334A9"/>
    <w:rsid w:val="00133B88"/>
    <w:rsid w:val="00133C32"/>
    <w:rsid w:val="00133EEA"/>
    <w:rsid w:val="001344AA"/>
    <w:rsid w:val="001347C6"/>
    <w:rsid w:val="0013490B"/>
    <w:rsid w:val="00134971"/>
    <w:rsid w:val="00134CA4"/>
    <w:rsid w:val="001351BC"/>
    <w:rsid w:val="00135506"/>
    <w:rsid w:val="00135702"/>
    <w:rsid w:val="001359EA"/>
    <w:rsid w:val="00135B56"/>
    <w:rsid w:val="00135D55"/>
    <w:rsid w:val="00135FFE"/>
    <w:rsid w:val="0013699A"/>
    <w:rsid w:val="00136A79"/>
    <w:rsid w:val="00136BDA"/>
    <w:rsid w:val="00136C08"/>
    <w:rsid w:val="0013708F"/>
    <w:rsid w:val="00137201"/>
    <w:rsid w:val="001372B0"/>
    <w:rsid w:val="00137340"/>
    <w:rsid w:val="00137C5D"/>
    <w:rsid w:val="00137CC4"/>
    <w:rsid w:val="00140259"/>
    <w:rsid w:val="00140365"/>
    <w:rsid w:val="00140A43"/>
    <w:rsid w:val="00140E15"/>
    <w:rsid w:val="00141049"/>
    <w:rsid w:val="00141247"/>
    <w:rsid w:val="00141609"/>
    <w:rsid w:val="00141CED"/>
    <w:rsid w:val="00141F52"/>
    <w:rsid w:val="0014207A"/>
    <w:rsid w:val="001429F9"/>
    <w:rsid w:val="00142DC4"/>
    <w:rsid w:val="00142EF1"/>
    <w:rsid w:val="001431AF"/>
    <w:rsid w:val="001431B9"/>
    <w:rsid w:val="001431E4"/>
    <w:rsid w:val="001435A3"/>
    <w:rsid w:val="0014369F"/>
    <w:rsid w:val="00143883"/>
    <w:rsid w:val="00143927"/>
    <w:rsid w:val="00143A5E"/>
    <w:rsid w:val="00143BF1"/>
    <w:rsid w:val="00143C5A"/>
    <w:rsid w:val="00143D2F"/>
    <w:rsid w:val="00143DD0"/>
    <w:rsid w:val="0014413F"/>
    <w:rsid w:val="001444FD"/>
    <w:rsid w:val="0014455F"/>
    <w:rsid w:val="001446E2"/>
    <w:rsid w:val="00144787"/>
    <w:rsid w:val="00144C9C"/>
    <w:rsid w:val="00144D45"/>
    <w:rsid w:val="001452D6"/>
    <w:rsid w:val="001453DD"/>
    <w:rsid w:val="00145AEB"/>
    <w:rsid w:val="001464A4"/>
    <w:rsid w:val="00146D0E"/>
    <w:rsid w:val="001470F0"/>
    <w:rsid w:val="0015007C"/>
    <w:rsid w:val="0015012D"/>
    <w:rsid w:val="0015016B"/>
    <w:rsid w:val="00150A55"/>
    <w:rsid w:val="00150E44"/>
    <w:rsid w:val="00150E46"/>
    <w:rsid w:val="00150F77"/>
    <w:rsid w:val="001511B0"/>
    <w:rsid w:val="00151934"/>
    <w:rsid w:val="001519EA"/>
    <w:rsid w:val="001519F3"/>
    <w:rsid w:val="00151A50"/>
    <w:rsid w:val="00151E35"/>
    <w:rsid w:val="00151F43"/>
    <w:rsid w:val="0015221E"/>
    <w:rsid w:val="001528A8"/>
    <w:rsid w:val="0015292E"/>
    <w:rsid w:val="00152931"/>
    <w:rsid w:val="00152A44"/>
    <w:rsid w:val="00152E3F"/>
    <w:rsid w:val="00153390"/>
    <w:rsid w:val="00153706"/>
    <w:rsid w:val="00153D7C"/>
    <w:rsid w:val="00154198"/>
    <w:rsid w:val="00154343"/>
    <w:rsid w:val="001543D9"/>
    <w:rsid w:val="0015453F"/>
    <w:rsid w:val="00154879"/>
    <w:rsid w:val="00154953"/>
    <w:rsid w:val="00154CA8"/>
    <w:rsid w:val="00155D83"/>
    <w:rsid w:val="001562FA"/>
    <w:rsid w:val="00156680"/>
    <w:rsid w:val="00156829"/>
    <w:rsid w:val="00156C60"/>
    <w:rsid w:val="00157045"/>
    <w:rsid w:val="00157064"/>
    <w:rsid w:val="0015723A"/>
    <w:rsid w:val="001576D4"/>
    <w:rsid w:val="0015783B"/>
    <w:rsid w:val="001578CB"/>
    <w:rsid w:val="00157964"/>
    <w:rsid w:val="001612C1"/>
    <w:rsid w:val="0016149A"/>
    <w:rsid w:val="00162022"/>
    <w:rsid w:val="001628A8"/>
    <w:rsid w:val="001633D7"/>
    <w:rsid w:val="0016382B"/>
    <w:rsid w:val="0016392E"/>
    <w:rsid w:val="00163961"/>
    <w:rsid w:val="00163AFB"/>
    <w:rsid w:val="00163B43"/>
    <w:rsid w:val="00163E2A"/>
    <w:rsid w:val="00163FCC"/>
    <w:rsid w:val="0016424A"/>
    <w:rsid w:val="001642CF"/>
    <w:rsid w:val="001645D3"/>
    <w:rsid w:val="0016470F"/>
    <w:rsid w:val="0016481D"/>
    <w:rsid w:val="001648E1"/>
    <w:rsid w:val="001649C0"/>
    <w:rsid w:val="00165131"/>
    <w:rsid w:val="00165326"/>
    <w:rsid w:val="0016553D"/>
    <w:rsid w:val="001655C8"/>
    <w:rsid w:val="00165B75"/>
    <w:rsid w:val="00165D2E"/>
    <w:rsid w:val="00165DA6"/>
    <w:rsid w:val="00165EA9"/>
    <w:rsid w:val="00165ED0"/>
    <w:rsid w:val="00165F44"/>
    <w:rsid w:val="00166035"/>
    <w:rsid w:val="0016616F"/>
    <w:rsid w:val="001667B1"/>
    <w:rsid w:val="00166811"/>
    <w:rsid w:val="00166D72"/>
    <w:rsid w:val="001677F0"/>
    <w:rsid w:val="00167B49"/>
    <w:rsid w:val="001700DA"/>
    <w:rsid w:val="00170D5D"/>
    <w:rsid w:val="00171900"/>
    <w:rsid w:val="00171B46"/>
    <w:rsid w:val="00171D1F"/>
    <w:rsid w:val="00171F5B"/>
    <w:rsid w:val="001723BE"/>
    <w:rsid w:val="00172434"/>
    <w:rsid w:val="00172579"/>
    <w:rsid w:val="001727CE"/>
    <w:rsid w:val="001727D1"/>
    <w:rsid w:val="00172B51"/>
    <w:rsid w:val="00173182"/>
    <w:rsid w:val="001732EE"/>
    <w:rsid w:val="00173493"/>
    <w:rsid w:val="00173C9D"/>
    <w:rsid w:val="0017411A"/>
    <w:rsid w:val="001741BB"/>
    <w:rsid w:val="00174276"/>
    <w:rsid w:val="001743EE"/>
    <w:rsid w:val="0017451E"/>
    <w:rsid w:val="00174673"/>
    <w:rsid w:val="00174BDC"/>
    <w:rsid w:val="00174CFC"/>
    <w:rsid w:val="00174FAC"/>
    <w:rsid w:val="00175153"/>
    <w:rsid w:val="001751B0"/>
    <w:rsid w:val="00175358"/>
    <w:rsid w:val="00175654"/>
    <w:rsid w:val="00175681"/>
    <w:rsid w:val="00175C6E"/>
    <w:rsid w:val="00175DC8"/>
    <w:rsid w:val="00175F0A"/>
    <w:rsid w:val="0017617A"/>
    <w:rsid w:val="0017629F"/>
    <w:rsid w:val="00176479"/>
    <w:rsid w:val="0017680F"/>
    <w:rsid w:val="001768DD"/>
    <w:rsid w:val="00176F9A"/>
    <w:rsid w:val="00177BC8"/>
    <w:rsid w:val="00177BE0"/>
    <w:rsid w:val="00177D62"/>
    <w:rsid w:val="001803BE"/>
    <w:rsid w:val="00180597"/>
    <w:rsid w:val="00180628"/>
    <w:rsid w:val="00180630"/>
    <w:rsid w:val="00180962"/>
    <w:rsid w:val="00180A5C"/>
    <w:rsid w:val="00181024"/>
    <w:rsid w:val="00181661"/>
    <w:rsid w:val="0018173D"/>
    <w:rsid w:val="0018180D"/>
    <w:rsid w:val="00181865"/>
    <w:rsid w:val="001824D4"/>
    <w:rsid w:val="00182E2F"/>
    <w:rsid w:val="001833B5"/>
    <w:rsid w:val="00183562"/>
    <w:rsid w:val="0018359B"/>
    <w:rsid w:val="00184097"/>
    <w:rsid w:val="0018417D"/>
    <w:rsid w:val="00184A82"/>
    <w:rsid w:val="00184AEE"/>
    <w:rsid w:val="00184AF0"/>
    <w:rsid w:val="00184E56"/>
    <w:rsid w:val="00184F0E"/>
    <w:rsid w:val="0018517A"/>
    <w:rsid w:val="001855FA"/>
    <w:rsid w:val="00185B4A"/>
    <w:rsid w:val="00185B72"/>
    <w:rsid w:val="00185BC4"/>
    <w:rsid w:val="00185D25"/>
    <w:rsid w:val="00185EE9"/>
    <w:rsid w:val="001860B5"/>
    <w:rsid w:val="001864A0"/>
    <w:rsid w:val="001867D7"/>
    <w:rsid w:val="00186B1B"/>
    <w:rsid w:val="00186B46"/>
    <w:rsid w:val="00186E79"/>
    <w:rsid w:val="001873A1"/>
    <w:rsid w:val="00187AE2"/>
    <w:rsid w:val="00187DE3"/>
    <w:rsid w:val="00187F88"/>
    <w:rsid w:val="00190084"/>
    <w:rsid w:val="001905FF"/>
    <w:rsid w:val="001908D7"/>
    <w:rsid w:val="001909CB"/>
    <w:rsid w:val="00191009"/>
    <w:rsid w:val="00191440"/>
    <w:rsid w:val="0019167A"/>
    <w:rsid w:val="001919AF"/>
    <w:rsid w:val="00191B37"/>
    <w:rsid w:val="00191BDB"/>
    <w:rsid w:val="00191FFD"/>
    <w:rsid w:val="00192172"/>
    <w:rsid w:val="001921E1"/>
    <w:rsid w:val="00192246"/>
    <w:rsid w:val="00192283"/>
    <w:rsid w:val="00192673"/>
    <w:rsid w:val="0019274D"/>
    <w:rsid w:val="001927B0"/>
    <w:rsid w:val="00192ADF"/>
    <w:rsid w:val="001931BB"/>
    <w:rsid w:val="001939EB"/>
    <w:rsid w:val="00193A74"/>
    <w:rsid w:val="00193AB7"/>
    <w:rsid w:val="00193B99"/>
    <w:rsid w:val="00193C45"/>
    <w:rsid w:val="00193C7E"/>
    <w:rsid w:val="00194560"/>
    <w:rsid w:val="001948FE"/>
    <w:rsid w:val="00194A01"/>
    <w:rsid w:val="00194D9F"/>
    <w:rsid w:val="00194E10"/>
    <w:rsid w:val="00194E7A"/>
    <w:rsid w:val="00195553"/>
    <w:rsid w:val="00195883"/>
    <w:rsid w:val="00195AA3"/>
    <w:rsid w:val="00196325"/>
    <w:rsid w:val="001964F4"/>
    <w:rsid w:val="0019652C"/>
    <w:rsid w:val="00196A5D"/>
    <w:rsid w:val="00196A72"/>
    <w:rsid w:val="001973D2"/>
    <w:rsid w:val="00197675"/>
    <w:rsid w:val="00197775"/>
    <w:rsid w:val="00197B13"/>
    <w:rsid w:val="00197C39"/>
    <w:rsid w:val="001A011C"/>
    <w:rsid w:val="001A07AC"/>
    <w:rsid w:val="001A0812"/>
    <w:rsid w:val="001A0936"/>
    <w:rsid w:val="001A0CE5"/>
    <w:rsid w:val="001A0D5A"/>
    <w:rsid w:val="001A0E84"/>
    <w:rsid w:val="001A0F72"/>
    <w:rsid w:val="001A13BF"/>
    <w:rsid w:val="001A19C2"/>
    <w:rsid w:val="001A1C21"/>
    <w:rsid w:val="001A1F15"/>
    <w:rsid w:val="001A2103"/>
    <w:rsid w:val="001A3CFC"/>
    <w:rsid w:val="001A439B"/>
    <w:rsid w:val="001A4B67"/>
    <w:rsid w:val="001A50E6"/>
    <w:rsid w:val="001A51C7"/>
    <w:rsid w:val="001A531C"/>
    <w:rsid w:val="001A5DCC"/>
    <w:rsid w:val="001A5F75"/>
    <w:rsid w:val="001A659F"/>
    <w:rsid w:val="001A6788"/>
    <w:rsid w:val="001A679C"/>
    <w:rsid w:val="001A6D0D"/>
    <w:rsid w:val="001A6F4B"/>
    <w:rsid w:val="001A6F62"/>
    <w:rsid w:val="001A6FAC"/>
    <w:rsid w:val="001A72D4"/>
    <w:rsid w:val="001A7527"/>
    <w:rsid w:val="001A7768"/>
    <w:rsid w:val="001A77AC"/>
    <w:rsid w:val="001A7CF6"/>
    <w:rsid w:val="001A7F49"/>
    <w:rsid w:val="001A7F67"/>
    <w:rsid w:val="001B00B5"/>
    <w:rsid w:val="001B01AB"/>
    <w:rsid w:val="001B060B"/>
    <w:rsid w:val="001B069B"/>
    <w:rsid w:val="001B06B1"/>
    <w:rsid w:val="001B0F5A"/>
    <w:rsid w:val="001B10A7"/>
    <w:rsid w:val="001B167B"/>
    <w:rsid w:val="001B17BC"/>
    <w:rsid w:val="001B1C35"/>
    <w:rsid w:val="001B21A2"/>
    <w:rsid w:val="001B21B4"/>
    <w:rsid w:val="001B2A65"/>
    <w:rsid w:val="001B2D88"/>
    <w:rsid w:val="001B2E82"/>
    <w:rsid w:val="001B304D"/>
    <w:rsid w:val="001B3403"/>
    <w:rsid w:val="001B3438"/>
    <w:rsid w:val="001B3572"/>
    <w:rsid w:val="001B357A"/>
    <w:rsid w:val="001B3A7D"/>
    <w:rsid w:val="001B3AC7"/>
    <w:rsid w:val="001B3BDC"/>
    <w:rsid w:val="001B3DBA"/>
    <w:rsid w:val="001B3DFC"/>
    <w:rsid w:val="001B408C"/>
    <w:rsid w:val="001B47F0"/>
    <w:rsid w:val="001B4827"/>
    <w:rsid w:val="001B4D7A"/>
    <w:rsid w:val="001B4DD9"/>
    <w:rsid w:val="001B4F1A"/>
    <w:rsid w:val="001B4F43"/>
    <w:rsid w:val="001B5183"/>
    <w:rsid w:val="001B54EF"/>
    <w:rsid w:val="001B566C"/>
    <w:rsid w:val="001B5795"/>
    <w:rsid w:val="001B57FC"/>
    <w:rsid w:val="001B5E8F"/>
    <w:rsid w:val="001B6796"/>
    <w:rsid w:val="001B6A03"/>
    <w:rsid w:val="001B6A94"/>
    <w:rsid w:val="001B7043"/>
    <w:rsid w:val="001B72E1"/>
    <w:rsid w:val="001B74E9"/>
    <w:rsid w:val="001B75B3"/>
    <w:rsid w:val="001B77F3"/>
    <w:rsid w:val="001B780D"/>
    <w:rsid w:val="001B7EB7"/>
    <w:rsid w:val="001B7F21"/>
    <w:rsid w:val="001B7FF4"/>
    <w:rsid w:val="001C03E7"/>
    <w:rsid w:val="001C0545"/>
    <w:rsid w:val="001C0BF2"/>
    <w:rsid w:val="001C0F5D"/>
    <w:rsid w:val="001C0FED"/>
    <w:rsid w:val="001C1187"/>
    <w:rsid w:val="001C11BC"/>
    <w:rsid w:val="001C1583"/>
    <w:rsid w:val="001C2080"/>
    <w:rsid w:val="001C2277"/>
    <w:rsid w:val="001C23C5"/>
    <w:rsid w:val="001C25C7"/>
    <w:rsid w:val="001C262C"/>
    <w:rsid w:val="001C317A"/>
    <w:rsid w:val="001C325D"/>
    <w:rsid w:val="001C366C"/>
    <w:rsid w:val="001C3870"/>
    <w:rsid w:val="001C3E36"/>
    <w:rsid w:val="001C3F32"/>
    <w:rsid w:val="001C4623"/>
    <w:rsid w:val="001C477C"/>
    <w:rsid w:val="001C4931"/>
    <w:rsid w:val="001C4F57"/>
    <w:rsid w:val="001C4FEA"/>
    <w:rsid w:val="001C51B9"/>
    <w:rsid w:val="001C555A"/>
    <w:rsid w:val="001C5B74"/>
    <w:rsid w:val="001C5D60"/>
    <w:rsid w:val="001C6472"/>
    <w:rsid w:val="001C6599"/>
    <w:rsid w:val="001C69E6"/>
    <w:rsid w:val="001C6B57"/>
    <w:rsid w:val="001C6B6B"/>
    <w:rsid w:val="001C6BAA"/>
    <w:rsid w:val="001C6C38"/>
    <w:rsid w:val="001C6C6A"/>
    <w:rsid w:val="001C6CB7"/>
    <w:rsid w:val="001C6FE1"/>
    <w:rsid w:val="001C7278"/>
    <w:rsid w:val="001C7390"/>
    <w:rsid w:val="001C75E5"/>
    <w:rsid w:val="001C75F7"/>
    <w:rsid w:val="001C782E"/>
    <w:rsid w:val="001C7E50"/>
    <w:rsid w:val="001D02DE"/>
    <w:rsid w:val="001D053A"/>
    <w:rsid w:val="001D059D"/>
    <w:rsid w:val="001D07F5"/>
    <w:rsid w:val="001D0BDF"/>
    <w:rsid w:val="001D12DB"/>
    <w:rsid w:val="001D15AB"/>
    <w:rsid w:val="001D1B9D"/>
    <w:rsid w:val="001D2A30"/>
    <w:rsid w:val="001D2F0E"/>
    <w:rsid w:val="001D3269"/>
    <w:rsid w:val="001D35D4"/>
    <w:rsid w:val="001D36A0"/>
    <w:rsid w:val="001D3C38"/>
    <w:rsid w:val="001D3DB1"/>
    <w:rsid w:val="001D4217"/>
    <w:rsid w:val="001D438D"/>
    <w:rsid w:val="001D4399"/>
    <w:rsid w:val="001D495C"/>
    <w:rsid w:val="001D4D1A"/>
    <w:rsid w:val="001D4E7F"/>
    <w:rsid w:val="001D503D"/>
    <w:rsid w:val="001D51C1"/>
    <w:rsid w:val="001D55C4"/>
    <w:rsid w:val="001D589E"/>
    <w:rsid w:val="001D5CE0"/>
    <w:rsid w:val="001D5E07"/>
    <w:rsid w:val="001D63A3"/>
    <w:rsid w:val="001D65F9"/>
    <w:rsid w:val="001D6784"/>
    <w:rsid w:val="001D6A1C"/>
    <w:rsid w:val="001D6F37"/>
    <w:rsid w:val="001D745C"/>
    <w:rsid w:val="001D78AE"/>
    <w:rsid w:val="001E098B"/>
    <w:rsid w:val="001E0A0B"/>
    <w:rsid w:val="001E0A84"/>
    <w:rsid w:val="001E0AB5"/>
    <w:rsid w:val="001E0D21"/>
    <w:rsid w:val="001E1058"/>
    <w:rsid w:val="001E13DA"/>
    <w:rsid w:val="001E1671"/>
    <w:rsid w:val="001E19BA"/>
    <w:rsid w:val="001E1B1B"/>
    <w:rsid w:val="001E1FCC"/>
    <w:rsid w:val="001E2E68"/>
    <w:rsid w:val="001E309A"/>
    <w:rsid w:val="001E31B8"/>
    <w:rsid w:val="001E331E"/>
    <w:rsid w:val="001E3382"/>
    <w:rsid w:val="001E3B3F"/>
    <w:rsid w:val="001E3C8E"/>
    <w:rsid w:val="001E3D78"/>
    <w:rsid w:val="001E3DFF"/>
    <w:rsid w:val="001E3F16"/>
    <w:rsid w:val="001E4415"/>
    <w:rsid w:val="001E4497"/>
    <w:rsid w:val="001E450C"/>
    <w:rsid w:val="001E4613"/>
    <w:rsid w:val="001E4BC2"/>
    <w:rsid w:val="001E4ECB"/>
    <w:rsid w:val="001E5025"/>
    <w:rsid w:val="001E50EC"/>
    <w:rsid w:val="001E53ED"/>
    <w:rsid w:val="001E5623"/>
    <w:rsid w:val="001E57D5"/>
    <w:rsid w:val="001E5926"/>
    <w:rsid w:val="001E599E"/>
    <w:rsid w:val="001E5BBA"/>
    <w:rsid w:val="001E5C5A"/>
    <w:rsid w:val="001E612A"/>
    <w:rsid w:val="001E6F89"/>
    <w:rsid w:val="001E72E4"/>
    <w:rsid w:val="001E76F4"/>
    <w:rsid w:val="001E79F7"/>
    <w:rsid w:val="001F00AE"/>
    <w:rsid w:val="001F0148"/>
    <w:rsid w:val="001F067A"/>
    <w:rsid w:val="001F084C"/>
    <w:rsid w:val="001F0BF6"/>
    <w:rsid w:val="001F0FC6"/>
    <w:rsid w:val="001F18EB"/>
    <w:rsid w:val="001F1980"/>
    <w:rsid w:val="001F1C62"/>
    <w:rsid w:val="001F207E"/>
    <w:rsid w:val="001F2287"/>
    <w:rsid w:val="001F2451"/>
    <w:rsid w:val="001F2C31"/>
    <w:rsid w:val="001F2CE8"/>
    <w:rsid w:val="001F301E"/>
    <w:rsid w:val="001F3186"/>
    <w:rsid w:val="001F3427"/>
    <w:rsid w:val="001F375A"/>
    <w:rsid w:val="001F3952"/>
    <w:rsid w:val="001F3983"/>
    <w:rsid w:val="001F3DBE"/>
    <w:rsid w:val="001F42F3"/>
    <w:rsid w:val="001F4572"/>
    <w:rsid w:val="001F4651"/>
    <w:rsid w:val="001F4718"/>
    <w:rsid w:val="001F4A1E"/>
    <w:rsid w:val="001F4E44"/>
    <w:rsid w:val="001F5023"/>
    <w:rsid w:val="001F53E2"/>
    <w:rsid w:val="001F54D2"/>
    <w:rsid w:val="001F584F"/>
    <w:rsid w:val="001F59F4"/>
    <w:rsid w:val="001F5CFE"/>
    <w:rsid w:val="001F6023"/>
    <w:rsid w:val="001F645B"/>
    <w:rsid w:val="001F6486"/>
    <w:rsid w:val="001F6983"/>
    <w:rsid w:val="001F6999"/>
    <w:rsid w:val="001F6C12"/>
    <w:rsid w:val="001F75C6"/>
    <w:rsid w:val="001F7717"/>
    <w:rsid w:val="001F782A"/>
    <w:rsid w:val="001F7D27"/>
    <w:rsid w:val="00200129"/>
    <w:rsid w:val="002003FC"/>
    <w:rsid w:val="00200A0B"/>
    <w:rsid w:val="00201019"/>
    <w:rsid w:val="0020115A"/>
    <w:rsid w:val="00201480"/>
    <w:rsid w:val="00201565"/>
    <w:rsid w:val="0020238F"/>
    <w:rsid w:val="0020247E"/>
    <w:rsid w:val="002028BE"/>
    <w:rsid w:val="00202C67"/>
    <w:rsid w:val="00202D99"/>
    <w:rsid w:val="00202DD7"/>
    <w:rsid w:val="00203379"/>
    <w:rsid w:val="00203529"/>
    <w:rsid w:val="002038A0"/>
    <w:rsid w:val="00203A56"/>
    <w:rsid w:val="00203B17"/>
    <w:rsid w:val="00203CF1"/>
    <w:rsid w:val="00203F35"/>
    <w:rsid w:val="00203F6B"/>
    <w:rsid w:val="002040CB"/>
    <w:rsid w:val="00204202"/>
    <w:rsid w:val="00204A76"/>
    <w:rsid w:val="00204E09"/>
    <w:rsid w:val="00204EF1"/>
    <w:rsid w:val="00205016"/>
    <w:rsid w:val="002052D6"/>
    <w:rsid w:val="002052E7"/>
    <w:rsid w:val="00205B73"/>
    <w:rsid w:val="00205CFF"/>
    <w:rsid w:val="0020621D"/>
    <w:rsid w:val="002062B4"/>
    <w:rsid w:val="002062F2"/>
    <w:rsid w:val="00206329"/>
    <w:rsid w:val="00206450"/>
    <w:rsid w:val="0020659A"/>
    <w:rsid w:val="00206786"/>
    <w:rsid w:val="00206B4A"/>
    <w:rsid w:val="00206C51"/>
    <w:rsid w:val="00210953"/>
    <w:rsid w:val="00210B8C"/>
    <w:rsid w:val="00210CA3"/>
    <w:rsid w:val="00210CD7"/>
    <w:rsid w:val="00210F7E"/>
    <w:rsid w:val="00211880"/>
    <w:rsid w:val="002119CF"/>
    <w:rsid w:val="00211C68"/>
    <w:rsid w:val="002120FE"/>
    <w:rsid w:val="00212309"/>
    <w:rsid w:val="00212727"/>
    <w:rsid w:val="00212E3F"/>
    <w:rsid w:val="00212FDB"/>
    <w:rsid w:val="00213A5E"/>
    <w:rsid w:val="002140AA"/>
    <w:rsid w:val="002140BF"/>
    <w:rsid w:val="00214338"/>
    <w:rsid w:val="00214581"/>
    <w:rsid w:val="00214BB6"/>
    <w:rsid w:val="00214EB8"/>
    <w:rsid w:val="002154DC"/>
    <w:rsid w:val="00215BCD"/>
    <w:rsid w:val="00215E40"/>
    <w:rsid w:val="002160B9"/>
    <w:rsid w:val="00216109"/>
    <w:rsid w:val="00216682"/>
    <w:rsid w:val="00216B0C"/>
    <w:rsid w:val="00216B2F"/>
    <w:rsid w:val="00216D71"/>
    <w:rsid w:val="00216DC5"/>
    <w:rsid w:val="00217169"/>
    <w:rsid w:val="002171F1"/>
    <w:rsid w:val="00217362"/>
    <w:rsid w:val="0021770E"/>
    <w:rsid w:val="0021792F"/>
    <w:rsid w:val="00217D7F"/>
    <w:rsid w:val="0022001C"/>
    <w:rsid w:val="0022002D"/>
    <w:rsid w:val="00220065"/>
    <w:rsid w:val="00220504"/>
    <w:rsid w:val="002207F0"/>
    <w:rsid w:val="00220864"/>
    <w:rsid w:val="00220FA0"/>
    <w:rsid w:val="0022103D"/>
    <w:rsid w:val="0022104F"/>
    <w:rsid w:val="0022148A"/>
    <w:rsid w:val="0022159F"/>
    <w:rsid w:val="0022170E"/>
    <w:rsid w:val="0022177C"/>
    <w:rsid w:val="002217FA"/>
    <w:rsid w:val="0022190A"/>
    <w:rsid w:val="002219CC"/>
    <w:rsid w:val="00221CBA"/>
    <w:rsid w:val="00221FB2"/>
    <w:rsid w:val="0022250F"/>
    <w:rsid w:val="00222612"/>
    <w:rsid w:val="002227B4"/>
    <w:rsid w:val="00222A38"/>
    <w:rsid w:val="00223729"/>
    <w:rsid w:val="00224DAD"/>
    <w:rsid w:val="00224DCE"/>
    <w:rsid w:val="00225370"/>
    <w:rsid w:val="002256DA"/>
    <w:rsid w:val="002258DF"/>
    <w:rsid w:val="00225C71"/>
    <w:rsid w:val="00226615"/>
    <w:rsid w:val="002267F6"/>
    <w:rsid w:val="00226C54"/>
    <w:rsid w:val="00226EFD"/>
    <w:rsid w:val="00226F4C"/>
    <w:rsid w:val="0022772E"/>
    <w:rsid w:val="00227A09"/>
    <w:rsid w:val="00227E73"/>
    <w:rsid w:val="00230C65"/>
    <w:rsid w:val="00231018"/>
    <w:rsid w:val="0023172E"/>
    <w:rsid w:val="002319E4"/>
    <w:rsid w:val="00231C72"/>
    <w:rsid w:val="00231F84"/>
    <w:rsid w:val="00231F98"/>
    <w:rsid w:val="0023212C"/>
    <w:rsid w:val="00232596"/>
    <w:rsid w:val="00232609"/>
    <w:rsid w:val="00232717"/>
    <w:rsid w:val="00232E52"/>
    <w:rsid w:val="00233312"/>
    <w:rsid w:val="0023354E"/>
    <w:rsid w:val="00233A1A"/>
    <w:rsid w:val="00233ECF"/>
    <w:rsid w:val="00234669"/>
    <w:rsid w:val="002348E0"/>
    <w:rsid w:val="00234D95"/>
    <w:rsid w:val="002350A1"/>
    <w:rsid w:val="00235130"/>
    <w:rsid w:val="0023525B"/>
    <w:rsid w:val="0023531F"/>
    <w:rsid w:val="00235457"/>
    <w:rsid w:val="002355DA"/>
    <w:rsid w:val="0023591F"/>
    <w:rsid w:val="00235D2C"/>
    <w:rsid w:val="00236AA7"/>
    <w:rsid w:val="0023709F"/>
    <w:rsid w:val="0023740F"/>
    <w:rsid w:val="00237574"/>
    <w:rsid w:val="002375E4"/>
    <w:rsid w:val="00237732"/>
    <w:rsid w:val="00237801"/>
    <w:rsid w:val="00237BE2"/>
    <w:rsid w:val="00237CD5"/>
    <w:rsid w:val="00237E5B"/>
    <w:rsid w:val="00237F31"/>
    <w:rsid w:val="0024009F"/>
    <w:rsid w:val="00240287"/>
    <w:rsid w:val="00240379"/>
    <w:rsid w:val="00240380"/>
    <w:rsid w:val="002403A4"/>
    <w:rsid w:val="0024045D"/>
    <w:rsid w:val="00240530"/>
    <w:rsid w:val="002405F1"/>
    <w:rsid w:val="002408CD"/>
    <w:rsid w:val="00240D42"/>
    <w:rsid w:val="00240E12"/>
    <w:rsid w:val="00240FA4"/>
    <w:rsid w:val="0024114D"/>
    <w:rsid w:val="002411DC"/>
    <w:rsid w:val="0024129B"/>
    <w:rsid w:val="0024154C"/>
    <w:rsid w:val="0024167C"/>
    <w:rsid w:val="00241718"/>
    <w:rsid w:val="002417FA"/>
    <w:rsid w:val="00241BA9"/>
    <w:rsid w:val="00241CAD"/>
    <w:rsid w:val="00241D5F"/>
    <w:rsid w:val="00242655"/>
    <w:rsid w:val="00242B30"/>
    <w:rsid w:val="00242E84"/>
    <w:rsid w:val="00242F30"/>
    <w:rsid w:val="002436C0"/>
    <w:rsid w:val="00243801"/>
    <w:rsid w:val="00243A95"/>
    <w:rsid w:val="00243C23"/>
    <w:rsid w:val="00243D75"/>
    <w:rsid w:val="002443B2"/>
    <w:rsid w:val="0024451D"/>
    <w:rsid w:val="0024453E"/>
    <w:rsid w:val="0024484C"/>
    <w:rsid w:val="00244C92"/>
    <w:rsid w:val="00244C98"/>
    <w:rsid w:val="00245366"/>
    <w:rsid w:val="002454E3"/>
    <w:rsid w:val="002463F7"/>
    <w:rsid w:val="0024659D"/>
    <w:rsid w:val="00246973"/>
    <w:rsid w:val="00246C25"/>
    <w:rsid w:val="00246C5D"/>
    <w:rsid w:val="00246F9A"/>
    <w:rsid w:val="002477DE"/>
    <w:rsid w:val="00247C64"/>
    <w:rsid w:val="00247DE2"/>
    <w:rsid w:val="002506BC"/>
    <w:rsid w:val="00250789"/>
    <w:rsid w:val="00250932"/>
    <w:rsid w:val="00250B4F"/>
    <w:rsid w:val="00250C2E"/>
    <w:rsid w:val="00250D96"/>
    <w:rsid w:val="00250FD0"/>
    <w:rsid w:val="002511B5"/>
    <w:rsid w:val="00251558"/>
    <w:rsid w:val="0025178F"/>
    <w:rsid w:val="00251876"/>
    <w:rsid w:val="00252167"/>
    <w:rsid w:val="002522B2"/>
    <w:rsid w:val="002524DF"/>
    <w:rsid w:val="00252507"/>
    <w:rsid w:val="0025252C"/>
    <w:rsid w:val="00252808"/>
    <w:rsid w:val="00252AA8"/>
    <w:rsid w:val="00252D72"/>
    <w:rsid w:val="00252FD7"/>
    <w:rsid w:val="002531AB"/>
    <w:rsid w:val="00253378"/>
    <w:rsid w:val="00253597"/>
    <w:rsid w:val="0025369F"/>
    <w:rsid w:val="002539B9"/>
    <w:rsid w:val="00253D8F"/>
    <w:rsid w:val="00253EBE"/>
    <w:rsid w:val="002541FF"/>
    <w:rsid w:val="002542E1"/>
    <w:rsid w:val="00254474"/>
    <w:rsid w:val="0025478F"/>
    <w:rsid w:val="0025492E"/>
    <w:rsid w:val="002549AB"/>
    <w:rsid w:val="00254FA7"/>
    <w:rsid w:val="0025512C"/>
    <w:rsid w:val="0025526C"/>
    <w:rsid w:val="002552CA"/>
    <w:rsid w:val="0025568B"/>
    <w:rsid w:val="00255A58"/>
    <w:rsid w:val="00255FBF"/>
    <w:rsid w:val="002562E6"/>
    <w:rsid w:val="00256573"/>
    <w:rsid w:val="00256740"/>
    <w:rsid w:val="00256B0C"/>
    <w:rsid w:val="0025712B"/>
    <w:rsid w:val="0025717E"/>
    <w:rsid w:val="0025768D"/>
    <w:rsid w:val="00260214"/>
    <w:rsid w:val="00260216"/>
    <w:rsid w:val="00260237"/>
    <w:rsid w:val="002614CC"/>
    <w:rsid w:val="00261BFD"/>
    <w:rsid w:val="00261F40"/>
    <w:rsid w:val="00262518"/>
    <w:rsid w:val="00262B58"/>
    <w:rsid w:val="00262F00"/>
    <w:rsid w:val="00262F41"/>
    <w:rsid w:val="00263247"/>
    <w:rsid w:val="00263280"/>
    <w:rsid w:val="002636AF"/>
    <w:rsid w:val="0026378A"/>
    <w:rsid w:val="00263D0F"/>
    <w:rsid w:val="00264193"/>
    <w:rsid w:val="0026491A"/>
    <w:rsid w:val="00264D08"/>
    <w:rsid w:val="0026506E"/>
    <w:rsid w:val="002650CA"/>
    <w:rsid w:val="00265732"/>
    <w:rsid w:val="00265756"/>
    <w:rsid w:val="0026576E"/>
    <w:rsid w:val="0026583A"/>
    <w:rsid w:val="0026589D"/>
    <w:rsid w:val="00265C61"/>
    <w:rsid w:val="00265F56"/>
    <w:rsid w:val="0026664A"/>
    <w:rsid w:val="00266CF5"/>
    <w:rsid w:val="00266F6E"/>
    <w:rsid w:val="002670F1"/>
    <w:rsid w:val="002673C4"/>
    <w:rsid w:val="0026782A"/>
    <w:rsid w:val="002678E4"/>
    <w:rsid w:val="002679A5"/>
    <w:rsid w:val="00267B0D"/>
    <w:rsid w:val="0027021C"/>
    <w:rsid w:val="00270388"/>
    <w:rsid w:val="002703AD"/>
    <w:rsid w:val="0027085B"/>
    <w:rsid w:val="00270973"/>
    <w:rsid w:val="00270A9D"/>
    <w:rsid w:val="00270D57"/>
    <w:rsid w:val="00270EEA"/>
    <w:rsid w:val="0027108B"/>
    <w:rsid w:val="00271263"/>
    <w:rsid w:val="00271329"/>
    <w:rsid w:val="002713BE"/>
    <w:rsid w:val="002714AC"/>
    <w:rsid w:val="00271755"/>
    <w:rsid w:val="0027244B"/>
    <w:rsid w:val="00272509"/>
    <w:rsid w:val="002725BE"/>
    <w:rsid w:val="00272AA6"/>
    <w:rsid w:val="00272AF2"/>
    <w:rsid w:val="00272CD6"/>
    <w:rsid w:val="00272EC1"/>
    <w:rsid w:val="00272EF4"/>
    <w:rsid w:val="002736D7"/>
    <w:rsid w:val="00273A7F"/>
    <w:rsid w:val="00273B29"/>
    <w:rsid w:val="002746A4"/>
    <w:rsid w:val="00274CD3"/>
    <w:rsid w:val="00274CDC"/>
    <w:rsid w:val="00275AE3"/>
    <w:rsid w:val="002761BD"/>
    <w:rsid w:val="002762C2"/>
    <w:rsid w:val="00276533"/>
    <w:rsid w:val="00276B80"/>
    <w:rsid w:val="00276D41"/>
    <w:rsid w:val="00276E41"/>
    <w:rsid w:val="0027742E"/>
    <w:rsid w:val="00277B5E"/>
    <w:rsid w:val="002803C2"/>
    <w:rsid w:val="00280726"/>
    <w:rsid w:val="002807AF"/>
    <w:rsid w:val="002809CB"/>
    <w:rsid w:val="00280C67"/>
    <w:rsid w:val="00280D8F"/>
    <w:rsid w:val="00280FAD"/>
    <w:rsid w:val="00281016"/>
    <w:rsid w:val="00281142"/>
    <w:rsid w:val="00281656"/>
    <w:rsid w:val="00281800"/>
    <w:rsid w:val="00281991"/>
    <w:rsid w:val="00281BA7"/>
    <w:rsid w:val="00281C27"/>
    <w:rsid w:val="00281DFB"/>
    <w:rsid w:val="00281F56"/>
    <w:rsid w:val="002820CA"/>
    <w:rsid w:val="002820D4"/>
    <w:rsid w:val="002824EB"/>
    <w:rsid w:val="002827A4"/>
    <w:rsid w:val="00282F14"/>
    <w:rsid w:val="00283BCB"/>
    <w:rsid w:val="002842D7"/>
    <w:rsid w:val="002844C6"/>
    <w:rsid w:val="002848B8"/>
    <w:rsid w:val="0028490E"/>
    <w:rsid w:val="00284CCC"/>
    <w:rsid w:val="00284D59"/>
    <w:rsid w:val="00284E76"/>
    <w:rsid w:val="00284EE0"/>
    <w:rsid w:val="00284FF3"/>
    <w:rsid w:val="002857EE"/>
    <w:rsid w:val="00285A82"/>
    <w:rsid w:val="00286D9C"/>
    <w:rsid w:val="00286E29"/>
    <w:rsid w:val="00286E73"/>
    <w:rsid w:val="0028715B"/>
    <w:rsid w:val="002871FB"/>
    <w:rsid w:val="002874FD"/>
    <w:rsid w:val="002875C6"/>
    <w:rsid w:val="00287AC2"/>
    <w:rsid w:val="002902A6"/>
    <w:rsid w:val="00290494"/>
    <w:rsid w:val="00290612"/>
    <w:rsid w:val="002906FD"/>
    <w:rsid w:val="00290F7F"/>
    <w:rsid w:val="00291067"/>
    <w:rsid w:val="002910C9"/>
    <w:rsid w:val="0029159D"/>
    <w:rsid w:val="002915EC"/>
    <w:rsid w:val="00291A40"/>
    <w:rsid w:val="00291D17"/>
    <w:rsid w:val="0029220D"/>
    <w:rsid w:val="0029222B"/>
    <w:rsid w:val="00292A12"/>
    <w:rsid w:val="00292B89"/>
    <w:rsid w:val="00292C6A"/>
    <w:rsid w:val="00292FB6"/>
    <w:rsid w:val="00293DFF"/>
    <w:rsid w:val="002940FF"/>
    <w:rsid w:val="00294225"/>
    <w:rsid w:val="00294266"/>
    <w:rsid w:val="002942CB"/>
    <w:rsid w:val="00294390"/>
    <w:rsid w:val="0029443A"/>
    <w:rsid w:val="0029497A"/>
    <w:rsid w:val="00294E50"/>
    <w:rsid w:val="00294F6A"/>
    <w:rsid w:val="00295103"/>
    <w:rsid w:val="00295215"/>
    <w:rsid w:val="0029529C"/>
    <w:rsid w:val="002957FC"/>
    <w:rsid w:val="0029584A"/>
    <w:rsid w:val="002959DB"/>
    <w:rsid w:val="00295B68"/>
    <w:rsid w:val="0029601D"/>
    <w:rsid w:val="00296801"/>
    <w:rsid w:val="00296BF6"/>
    <w:rsid w:val="00296CB1"/>
    <w:rsid w:val="00296E11"/>
    <w:rsid w:val="002971C7"/>
    <w:rsid w:val="002971DA"/>
    <w:rsid w:val="00297209"/>
    <w:rsid w:val="00297346"/>
    <w:rsid w:val="002973EF"/>
    <w:rsid w:val="0029775F"/>
    <w:rsid w:val="00297837"/>
    <w:rsid w:val="00297908"/>
    <w:rsid w:val="00297F13"/>
    <w:rsid w:val="002A037A"/>
    <w:rsid w:val="002A0480"/>
    <w:rsid w:val="002A05F9"/>
    <w:rsid w:val="002A0EDF"/>
    <w:rsid w:val="002A1114"/>
    <w:rsid w:val="002A17F8"/>
    <w:rsid w:val="002A1938"/>
    <w:rsid w:val="002A1A7B"/>
    <w:rsid w:val="002A1CB7"/>
    <w:rsid w:val="002A2435"/>
    <w:rsid w:val="002A2562"/>
    <w:rsid w:val="002A2BC9"/>
    <w:rsid w:val="002A3019"/>
    <w:rsid w:val="002A3531"/>
    <w:rsid w:val="002A36F6"/>
    <w:rsid w:val="002A39AF"/>
    <w:rsid w:val="002A3A79"/>
    <w:rsid w:val="002A3A87"/>
    <w:rsid w:val="002A3C8C"/>
    <w:rsid w:val="002A3FE1"/>
    <w:rsid w:val="002A51B4"/>
    <w:rsid w:val="002A5DD8"/>
    <w:rsid w:val="002A6A3C"/>
    <w:rsid w:val="002A6B2D"/>
    <w:rsid w:val="002A6C68"/>
    <w:rsid w:val="002A7126"/>
    <w:rsid w:val="002A7165"/>
    <w:rsid w:val="002A77A6"/>
    <w:rsid w:val="002A784C"/>
    <w:rsid w:val="002A7DA9"/>
    <w:rsid w:val="002A7EBE"/>
    <w:rsid w:val="002A7EE0"/>
    <w:rsid w:val="002B0220"/>
    <w:rsid w:val="002B084D"/>
    <w:rsid w:val="002B138B"/>
    <w:rsid w:val="002B1451"/>
    <w:rsid w:val="002B19E1"/>
    <w:rsid w:val="002B1D29"/>
    <w:rsid w:val="002B22AA"/>
    <w:rsid w:val="002B2650"/>
    <w:rsid w:val="002B3AD1"/>
    <w:rsid w:val="002B3EE8"/>
    <w:rsid w:val="002B40DC"/>
    <w:rsid w:val="002B42DC"/>
    <w:rsid w:val="002B460D"/>
    <w:rsid w:val="002B4F09"/>
    <w:rsid w:val="002B4F7C"/>
    <w:rsid w:val="002B52B7"/>
    <w:rsid w:val="002B569C"/>
    <w:rsid w:val="002B601A"/>
    <w:rsid w:val="002B6098"/>
    <w:rsid w:val="002B60A0"/>
    <w:rsid w:val="002B6501"/>
    <w:rsid w:val="002B653E"/>
    <w:rsid w:val="002B7043"/>
    <w:rsid w:val="002B7325"/>
    <w:rsid w:val="002B742A"/>
    <w:rsid w:val="002B751C"/>
    <w:rsid w:val="002B7A6D"/>
    <w:rsid w:val="002B7B01"/>
    <w:rsid w:val="002B7FA6"/>
    <w:rsid w:val="002C0061"/>
    <w:rsid w:val="002C0097"/>
    <w:rsid w:val="002C0142"/>
    <w:rsid w:val="002C02CD"/>
    <w:rsid w:val="002C0B4B"/>
    <w:rsid w:val="002C0DAC"/>
    <w:rsid w:val="002C0EDF"/>
    <w:rsid w:val="002C0FD4"/>
    <w:rsid w:val="002C115F"/>
    <w:rsid w:val="002C1A0E"/>
    <w:rsid w:val="002C1A7D"/>
    <w:rsid w:val="002C1B0D"/>
    <w:rsid w:val="002C1B8A"/>
    <w:rsid w:val="002C28BB"/>
    <w:rsid w:val="002C29B5"/>
    <w:rsid w:val="002C2A9C"/>
    <w:rsid w:val="002C2EE8"/>
    <w:rsid w:val="002C2FAC"/>
    <w:rsid w:val="002C31B9"/>
    <w:rsid w:val="002C37ED"/>
    <w:rsid w:val="002C3A12"/>
    <w:rsid w:val="002C3D94"/>
    <w:rsid w:val="002C4529"/>
    <w:rsid w:val="002C4810"/>
    <w:rsid w:val="002C4A49"/>
    <w:rsid w:val="002C4D54"/>
    <w:rsid w:val="002C50F1"/>
    <w:rsid w:val="002C5303"/>
    <w:rsid w:val="002C5453"/>
    <w:rsid w:val="002C5638"/>
    <w:rsid w:val="002C5659"/>
    <w:rsid w:val="002C5895"/>
    <w:rsid w:val="002C58F5"/>
    <w:rsid w:val="002C5BFD"/>
    <w:rsid w:val="002C6071"/>
    <w:rsid w:val="002C641A"/>
    <w:rsid w:val="002C6996"/>
    <w:rsid w:val="002C6AB7"/>
    <w:rsid w:val="002C6D4F"/>
    <w:rsid w:val="002C71D4"/>
    <w:rsid w:val="002C7418"/>
    <w:rsid w:val="002C7B11"/>
    <w:rsid w:val="002C7E8F"/>
    <w:rsid w:val="002C7F41"/>
    <w:rsid w:val="002D0090"/>
    <w:rsid w:val="002D07FA"/>
    <w:rsid w:val="002D0D12"/>
    <w:rsid w:val="002D1171"/>
    <w:rsid w:val="002D1221"/>
    <w:rsid w:val="002D1523"/>
    <w:rsid w:val="002D17E0"/>
    <w:rsid w:val="002D1B80"/>
    <w:rsid w:val="002D2D91"/>
    <w:rsid w:val="002D2EBD"/>
    <w:rsid w:val="002D3804"/>
    <w:rsid w:val="002D39F2"/>
    <w:rsid w:val="002D46C1"/>
    <w:rsid w:val="002D4F51"/>
    <w:rsid w:val="002D4F62"/>
    <w:rsid w:val="002D50AF"/>
    <w:rsid w:val="002D50EF"/>
    <w:rsid w:val="002D53D1"/>
    <w:rsid w:val="002D57EE"/>
    <w:rsid w:val="002D5A44"/>
    <w:rsid w:val="002D5FD3"/>
    <w:rsid w:val="002D605F"/>
    <w:rsid w:val="002D62A1"/>
    <w:rsid w:val="002D7289"/>
    <w:rsid w:val="002D7A52"/>
    <w:rsid w:val="002D7AD8"/>
    <w:rsid w:val="002E0741"/>
    <w:rsid w:val="002E09EB"/>
    <w:rsid w:val="002E0D3C"/>
    <w:rsid w:val="002E1404"/>
    <w:rsid w:val="002E1513"/>
    <w:rsid w:val="002E17E8"/>
    <w:rsid w:val="002E230F"/>
    <w:rsid w:val="002E2364"/>
    <w:rsid w:val="002E258D"/>
    <w:rsid w:val="002E261B"/>
    <w:rsid w:val="002E266A"/>
    <w:rsid w:val="002E2A0E"/>
    <w:rsid w:val="002E2A50"/>
    <w:rsid w:val="002E2E8C"/>
    <w:rsid w:val="002E2F2D"/>
    <w:rsid w:val="002E2FBF"/>
    <w:rsid w:val="002E30FA"/>
    <w:rsid w:val="002E3173"/>
    <w:rsid w:val="002E3299"/>
    <w:rsid w:val="002E347F"/>
    <w:rsid w:val="002E355C"/>
    <w:rsid w:val="002E3645"/>
    <w:rsid w:val="002E371E"/>
    <w:rsid w:val="002E3827"/>
    <w:rsid w:val="002E3837"/>
    <w:rsid w:val="002E38EB"/>
    <w:rsid w:val="002E4549"/>
    <w:rsid w:val="002E4668"/>
    <w:rsid w:val="002E474D"/>
    <w:rsid w:val="002E4BB7"/>
    <w:rsid w:val="002E4C65"/>
    <w:rsid w:val="002E4E6B"/>
    <w:rsid w:val="002E4EA5"/>
    <w:rsid w:val="002E5544"/>
    <w:rsid w:val="002E60C3"/>
    <w:rsid w:val="002E613A"/>
    <w:rsid w:val="002E65FD"/>
    <w:rsid w:val="002E69F4"/>
    <w:rsid w:val="002E7303"/>
    <w:rsid w:val="002E748F"/>
    <w:rsid w:val="002E7846"/>
    <w:rsid w:val="002E79D5"/>
    <w:rsid w:val="002E7B19"/>
    <w:rsid w:val="002E7C26"/>
    <w:rsid w:val="002F001A"/>
    <w:rsid w:val="002F005C"/>
    <w:rsid w:val="002F025B"/>
    <w:rsid w:val="002F0326"/>
    <w:rsid w:val="002F0A35"/>
    <w:rsid w:val="002F119C"/>
    <w:rsid w:val="002F1771"/>
    <w:rsid w:val="002F1AE7"/>
    <w:rsid w:val="002F1BD7"/>
    <w:rsid w:val="002F1DFC"/>
    <w:rsid w:val="002F28BC"/>
    <w:rsid w:val="002F2E30"/>
    <w:rsid w:val="002F3968"/>
    <w:rsid w:val="002F3E30"/>
    <w:rsid w:val="002F3FF0"/>
    <w:rsid w:val="002F43AE"/>
    <w:rsid w:val="002F4620"/>
    <w:rsid w:val="002F4622"/>
    <w:rsid w:val="002F46DA"/>
    <w:rsid w:val="002F47FF"/>
    <w:rsid w:val="002F4A89"/>
    <w:rsid w:val="002F4C93"/>
    <w:rsid w:val="002F4D07"/>
    <w:rsid w:val="002F50AD"/>
    <w:rsid w:val="002F5182"/>
    <w:rsid w:val="002F5523"/>
    <w:rsid w:val="002F5AF5"/>
    <w:rsid w:val="002F5B7D"/>
    <w:rsid w:val="002F655B"/>
    <w:rsid w:val="002F7268"/>
    <w:rsid w:val="002F7837"/>
    <w:rsid w:val="002F7BB4"/>
    <w:rsid w:val="002F7CF0"/>
    <w:rsid w:val="00300561"/>
    <w:rsid w:val="00300C2A"/>
    <w:rsid w:val="00300DF0"/>
    <w:rsid w:val="00301415"/>
    <w:rsid w:val="0030155A"/>
    <w:rsid w:val="003017B1"/>
    <w:rsid w:val="0030192D"/>
    <w:rsid w:val="00301E28"/>
    <w:rsid w:val="00301E44"/>
    <w:rsid w:val="003022CC"/>
    <w:rsid w:val="00302589"/>
    <w:rsid w:val="003028B2"/>
    <w:rsid w:val="0030291E"/>
    <w:rsid w:val="00302C86"/>
    <w:rsid w:val="00302DC4"/>
    <w:rsid w:val="003031C5"/>
    <w:rsid w:val="003034E4"/>
    <w:rsid w:val="003035A4"/>
    <w:rsid w:val="0030364C"/>
    <w:rsid w:val="0030370A"/>
    <w:rsid w:val="00303BB2"/>
    <w:rsid w:val="00303D4B"/>
    <w:rsid w:val="00303E43"/>
    <w:rsid w:val="003040DE"/>
    <w:rsid w:val="00304410"/>
    <w:rsid w:val="0030500F"/>
    <w:rsid w:val="0030502C"/>
    <w:rsid w:val="0030540C"/>
    <w:rsid w:val="003057A9"/>
    <w:rsid w:val="00305BED"/>
    <w:rsid w:val="00305D01"/>
    <w:rsid w:val="00305D49"/>
    <w:rsid w:val="00305E31"/>
    <w:rsid w:val="003060DD"/>
    <w:rsid w:val="0030665D"/>
    <w:rsid w:val="00307192"/>
    <w:rsid w:val="00307382"/>
    <w:rsid w:val="00307977"/>
    <w:rsid w:val="00307FA3"/>
    <w:rsid w:val="00307FF0"/>
    <w:rsid w:val="0031042E"/>
    <w:rsid w:val="003107A0"/>
    <w:rsid w:val="00310B64"/>
    <w:rsid w:val="00310CE2"/>
    <w:rsid w:val="0031117D"/>
    <w:rsid w:val="0031189F"/>
    <w:rsid w:val="00311B8C"/>
    <w:rsid w:val="00311D33"/>
    <w:rsid w:val="00312848"/>
    <w:rsid w:val="00312A1F"/>
    <w:rsid w:val="00312B94"/>
    <w:rsid w:val="00312CAC"/>
    <w:rsid w:val="00312D45"/>
    <w:rsid w:val="00312F9C"/>
    <w:rsid w:val="00312FCD"/>
    <w:rsid w:val="00313181"/>
    <w:rsid w:val="003134A7"/>
    <w:rsid w:val="003134D4"/>
    <w:rsid w:val="00313B0A"/>
    <w:rsid w:val="0031406E"/>
    <w:rsid w:val="003146C5"/>
    <w:rsid w:val="003147B2"/>
    <w:rsid w:val="0031482B"/>
    <w:rsid w:val="00314986"/>
    <w:rsid w:val="00314CC1"/>
    <w:rsid w:val="003150A0"/>
    <w:rsid w:val="003152F9"/>
    <w:rsid w:val="003154FC"/>
    <w:rsid w:val="003156E2"/>
    <w:rsid w:val="0031587E"/>
    <w:rsid w:val="003158CD"/>
    <w:rsid w:val="00315E86"/>
    <w:rsid w:val="00315EE0"/>
    <w:rsid w:val="00316109"/>
    <w:rsid w:val="00316111"/>
    <w:rsid w:val="0031625E"/>
    <w:rsid w:val="00316333"/>
    <w:rsid w:val="0031647A"/>
    <w:rsid w:val="003166E9"/>
    <w:rsid w:val="00316759"/>
    <w:rsid w:val="00316EB2"/>
    <w:rsid w:val="00317131"/>
    <w:rsid w:val="003178D3"/>
    <w:rsid w:val="00320218"/>
    <w:rsid w:val="00320263"/>
    <w:rsid w:val="003202E9"/>
    <w:rsid w:val="00320310"/>
    <w:rsid w:val="0032065A"/>
    <w:rsid w:val="00320760"/>
    <w:rsid w:val="00320CCB"/>
    <w:rsid w:val="00320EF1"/>
    <w:rsid w:val="00320F23"/>
    <w:rsid w:val="0032151B"/>
    <w:rsid w:val="00321A24"/>
    <w:rsid w:val="0032205F"/>
    <w:rsid w:val="003221F9"/>
    <w:rsid w:val="0032286F"/>
    <w:rsid w:val="003228E7"/>
    <w:rsid w:val="00322C58"/>
    <w:rsid w:val="00322EBA"/>
    <w:rsid w:val="00323181"/>
    <w:rsid w:val="00323488"/>
    <w:rsid w:val="0032372B"/>
    <w:rsid w:val="00323C42"/>
    <w:rsid w:val="00323C84"/>
    <w:rsid w:val="00323FFC"/>
    <w:rsid w:val="00324063"/>
    <w:rsid w:val="0032427D"/>
    <w:rsid w:val="00324397"/>
    <w:rsid w:val="0032478B"/>
    <w:rsid w:val="00324919"/>
    <w:rsid w:val="00324DE1"/>
    <w:rsid w:val="00325291"/>
    <w:rsid w:val="003253AF"/>
    <w:rsid w:val="00325797"/>
    <w:rsid w:val="00325969"/>
    <w:rsid w:val="00325BBB"/>
    <w:rsid w:val="00326150"/>
    <w:rsid w:val="00326201"/>
    <w:rsid w:val="00326829"/>
    <w:rsid w:val="00326A2A"/>
    <w:rsid w:val="00326ED2"/>
    <w:rsid w:val="00327070"/>
    <w:rsid w:val="00327358"/>
    <w:rsid w:val="003274D3"/>
    <w:rsid w:val="003276A4"/>
    <w:rsid w:val="003276CA"/>
    <w:rsid w:val="003276D9"/>
    <w:rsid w:val="003278ED"/>
    <w:rsid w:val="00327C63"/>
    <w:rsid w:val="003301E2"/>
    <w:rsid w:val="00330336"/>
    <w:rsid w:val="00330E53"/>
    <w:rsid w:val="0033147E"/>
    <w:rsid w:val="00331757"/>
    <w:rsid w:val="00331931"/>
    <w:rsid w:val="00331BBF"/>
    <w:rsid w:val="00331E06"/>
    <w:rsid w:val="003329D4"/>
    <w:rsid w:val="00332D99"/>
    <w:rsid w:val="00332DBC"/>
    <w:rsid w:val="003334DF"/>
    <w:rsid w:val="003337B2"/>
    <w:rsid w:val="00333888"/>
    <w:rsid w:val="00333B97"/>
    <w:rsid w:val="00333D1D"/>
    <w:rsid w:val="00333E3C"/>
    <w:rsid w:val="00333E9E"/>
    <w:rsid w:val="00334A7D"/>
    <w:rsid w:val="00334AD2"/>
    <w:rsid w:val="0033543B"/>
    <w:rsid w:val="003359F2"/>
    <w:rsid w:val="00335A75"/>
    <w:rsid w:val="003361BA"/>
    <w:rsid w:val="00336454"/>
    <w:rsid w:val="003364FC"/>
    <w:rsid w:val="00336A32"/>
    <w:rsid w:val="00336B03"/>
    <w:rsid w:val="00336B9B"/>
    <w:rsid w:val="00336EF5"/>
    <w:rsid w:val="00337693"/>
    <w:rsid w:val="00337847"/>
    <w:rsid w:val="003378C1"/>
    <w:rsid w:val="0033794C"/>
    <w:rsid w:val="003379F3"/>
    <w:rsid w:val="00337AD3"/>
    <w:rsid w:val="00337EA5"/>
    <w:rsid w:val="00340008"/>
    <w:rsid w:val="003409E5"/>
    <w:rsid w:val="00341297"/>
    <w:rsid w:val="003415FE"/>
    <w:rsid w:val="003416A2"/>
    <w:rsid w:val="0034171D"/>
    <w:rsid w:val="00341FB9"/>
    <w:rsid w:val="003422B0"/>
    <w:rsid w:val="003428A5"/>
    <w:rsid w:val="00342E3E"/>
    <w:rsid w:val="00342F9F"/>
    <w:rsid w:val="00343423"/>
    <w:rsid w:val="003436C0"/>
    <w:rsid w:val="0034385D"/>
    <w:rsid w:val="003445FD"/>
    <w:rsid w:val="0034493A"/>
    <w:rsid w:val="00344945"/>
    <w:rsid w:val="00344B12"/>
    <w:rsid w:val="00344DE3"/>
    <w:rsid w:val="00345162"/>
    <w:rsid w:val="00345314"/>
    <w:rsid w:val="003453C6"/>
    <w:rsid w:val="0034551E"/>
    <w:rsid w:val="003457D1"/>
    <w:rsid w:val="0034592C"/>
    <w:rsid w:val="00345986"/>
    <w:rsid w:val="00346247"/>
    <w:rsid w:val="00346708"/>
    <w:rsid w:val="003467FA"/>
    <w:rsid w:val="00346A2A"/>
    <w:rsid w:val="00346B24"/>
    <w:rsid w:val="00346B7A"/>
    <w:rsid w:val="00347220"/>
    <w:rsid w:val="0034730E"/>
    <w:rsid w:val="00347370"/>
    <w:rsid w:val="00347544"/>
    <w:rsid w:val="0034767C"/>
    <w:rsid w:val="003479B7"/>
    <w:rsid w:val="00347A0A"/>
    <w:rsid w:val="00347B88"/>
    <w:rsid w:val="00347C54"/>
    <w:rsid w:val="00347E19"/>
    <w:rsid w:val="00347EA7"/>
    <w:rsid w:val="00350418"/>
    <w:rsid w:val="0035074C"/>
    <w:rsid w:val="003509B9"/>
    <w:rsid w:val="00350CA4"/>
    <w:rsid w:val="00350E77"/>
    <w:rsid w:val="00351342"/>
    <w:rsid w:val="00351770"/>
    <w:rsid w:val="00351D69"/>
    <w:rsid w:val="00351DDF"/>
    <w:rsid w:val="00351F3A"/>
    <w:rsid w:val="003523AF"/>
    <w:rsid w:val="0035268F"/>
    <w:rsid w:val="003529B3"/>
    <w:rsid w:val="00352E46"/>
    <w:rsid w:val="0035330F"/>
    <w:rsid w:val="003535D6"/>
    <w:rsid w:val="00353986"/>
    <w:rsid w:val="00353F2B"/>
    <w:rsid w:val="003541A6"/>
    <w:rsid w:val="003541EF"/>
    <w:rsid w:val="003542FE"/>
    <w:rsid w:val="00354C5E"/>
    <w:rsid w:val="0035573B"/>
    <w:rsid w:val="0035574D"/>
    <w:rsid w:val="0035584F"/>
    <w:rsid w:val="00355AE5"/>
    <w:rsid w:val="00355D61"/>
    <w:rsid w:val="00355F50"/>
    <w:rsid w:val="00356D01"/>
    <w:rsid w:val="003571E9"/>
    <w:rsid w:val="003576F1"/>
    <w:rsid w:val="00357777"/>
    <w:rsid w:val="00357A98"/>
    <w:rsid w:val="003603C8"/>
    <w:rsid w:val="003604D8"/>
    <w:rsid w:val="00360770"/>
    <w:rsid w:val="00360D54"/>
    <w:rsid w:val="00360E8E"/>
    <w:rsid w:val="0036141C"/>
    <w:rsid w:val="00361421"/>
    <w:rsid w:val="00361AA8"/>
    <w:rsid w:val="00361AD6"/>
    <w:rsid w:val="00361BD3"/>
    <w:rsid w:val="00361F10"/>
    <w:rsid w:val="00362124"/>
    <w:rsid w:val="003621DE"/>
    <w:rsid w:val="00362615"/>
    <w:rsid w:val="00362868"/>
    <w:rsid w:val="00362EC3"/>
    <w:rsid w:val="00363184"/>
    <w:rsid w:val="00363233"/>
    <w:rsid w:val="00363715"/>
    <w:rsid w:val="00363A42"/>
    <w:rsid w:val="00363B2A"/>
    <w:rsid w:val="00363DF2"/>
    <w:rsid w:val="00363E44"/>
    <w:rsid w:val="00363EA9"/>
    <w:rsid w:val="00364064"/>
    <w:rsid w:val="003643B0"/>
    <w:rsid w:val="003643E5"/>
    <w:rsid w:val="00364430"/>
    <w:rsid w:val="00364799"/>
    <w:rsid w:val="00364A02"/>
    <w:rsid w:val="00364ED2"/>
    <w:rsid w:val="003653E3"/>
    <w:rsid w:val="00365A19"/>
    <w:rsid w:val="00365BE9"/>
    <w:rsid w:val="00365C18"/>
    <w:rsid w:val="00365D83"/>
    <w:rsid w:val="00365E19"/>
    <w:rsid w:val="00366087"/>
    <w:rsid w:val="00366335"/>
    <w:rsid w:val="00366356"/>
    <w:rsid w:val="003664BE"/>
    <w:rsid w:val="0036658C"/>
    <w:rsid w:val="00366C7C"/>
    <w:rsid w:val="00366F3B"/>
    <w:rsid w:val="003670E6"/>
    <w:rsid w:val="003673CE"/>
    <w:rsid w:val="003677D0"/>
    <w:rsid w:val="003700A8"/>
    <w:rsid w:val="00370712"/>
    <w:rsid w:val="00370792"/>
    <w:rsid w:val="0037137E"/>
    <w:rsid w:val="003715FD"/>
    <w:rsid w:val="0037172D"/>
    <w:rsid w:val="0037174D"/>
    <w:rsid w:val="0037195D"/>
    <w:rsid w:val="00371D0E"/>
    <w:rsid w:val="00371DAE"/>
    <w:rsid w:val="0037205D"/>
    <w:rsid w:val="003729AB"/>
    <w:rsid w:val="00372B15"/>
    <w:rsid w:val="00372FF2"/>
    <w:rsid w:val="003731E1"/>
    <w:rsid w:val="003734CB"/>
    <w:rsid w:val="00373789"/>
    <w:rsid w:val="003739C6"/>
    <w:rsid w:val="00373AA0"/>
    <w:rsid w:val="00373D70"/>
    <w:rsid w:val="00374348"/>
    <w:rsid w:val="00374539"/>
    <w:rsid w:val="003752F4"/>
    <w:rsid w:val="0037554F"/>
    <w:rsid w:val="003755EC"/>
    <w:rsid w:val="00375833"/>
    <w:rsid w:val="00375938"/>
    <w:rsid w:val="003759B6"/>
    <w:rsid w:val="00375A11"/>
    <w:rsid w:val="00375DD5"/>
    <w:rsid w:val="00375F2C"/>
    <w:rsid w:val="00376362"/>
    <w:rsid w:val="003763D4"/>
    <w:rsid w:val="00376649"/>
    <w:rsid w:val="003766E0"/>
    <w:rsid w:val="00376EFA"/>
    <w:rsid w:val="0037787A"/>
    <w:rsid w:val="00377B30"/>
    <w:rsid w:val="00377CAA"/>
    <w:rsid w:val="00377E67"/>
    <w:rsid w:val="00377F48"/>
    <w:rsid w:val="003808DB"/>
    <w:rsid w:val="00380921"/>
    <w:rsid w:val="00380A26"/>
    <w:rsid w:val="0038101A"/>
    <w:rsid w:val="003818C2"/>
    <w:rsid w:val="00381990"/>
    <w:rsid w:val="00381999"/>
    <w:rsid w:val="0038217A"/>
    <w:rsid w:val="0038308F"/>
    <w:rsid w:val="00383375"/>
    <w:rsid w:val="003834AB"/>
    <w:rsid w:val="003835D0"/>
    <w:rsid w:val="003838CE"/>
    <w:rsid w:val="00383F20"/>
    <w:rsid w:val="003840F1"/>
    <w:rsid w:val="0038422B"/>
    <w:rsid w:val="00384908"/>
    <w:rsid w:val="00384C94"/>
    <w:rsid w:val="00384CA2"/>
    <w:rsid w:val="00384E66"/>
    <w:rsid w:val="00385927"/>
    <w:rsid w:val="00385992"/>
    <w:rsid w:val="00386A02"/>
    <w:rsid w:val="00386F77"/>
    <w:rsid w:val="00387108"/>
    <w:rsid w:val="003878A7"/>
    <w:rsid w:val="00387BBE"/>
    <w:rsid w:val="00390035"/>
    <w:rsid w:val="0039010E"/>
    <w:rsid w:val="003908C5"/>
    <w:rsid w:val="00390ACE"/>
    <w:rsid w:val="00390DE6"/>
    <w:rsid w:val="003911FE"/>
    <w:rsid w:val="0039135E"/>
    <w:rsid w:val="003913E7"/>
    <w:rsid w:val="00391758"/>
    <w:rsid w:val="00391C54"/>
    <w:rsid w:val="00391FB1"/>
    <w:rsid w:val="003923BE"/>
    <w:rsid w:val="003933A6"/>
    <w:rsid w:val="00393421"/>
    <w:rsid w:val="00393439"/>
    <w:rsid w:val="00393706"/>
    <w:rsid w:val="00393ABB"/>
    <w:rsid w:val="0039411B"/>
    <w:rsid w:val="00394151"/>
    <w:rsid w:val="003941C1"/>
    <w:rsid w:val="00394310"/>
    <w:rsid w:val="00394A39"/>
    <w:rsid w:val="00394D7B"/>
    <w:rsid w:val="0039503A"/>
    <w:rsid w:val="003951D5"/>
    <w:rsid w:val="00395356"/>
    <w:rsid w:val="0039541E"/>
    <w:rsid w:val="003956BD"/>
    <w:rsid w:val="0039577E"/>
    <w:rsid w:val="003958F9"/>
    <w:rsid w:val="0039590C"/>
    <w:rsid w:val="00395A63"/>
    <w:rsid w:val="00395B6C"/>
    <w:rsid w:val="00395D61"/>
    <w:rsid w:val="00395E2B"/>
    <w:rsid w:val="00395EA4"/>
    <w:rsid w:val="00395F45"/>
    <w:rsid w:val="00395FAE"/>
    <w:rsid w:val="00395FC8"/>
    <w:rsid w:val="0039641F"/>
    <w:rsid w:val="0039663C"/>
    <w:rsid w:val="003968EA"/>
    <w:rsid w:val="00396A6B"/>
    <w:rsid w:val="00396AA9"/>
    <w:rsid w:val="00396B11"/>
    <w:rsid w:val="00396BB0"/>
    <w:rsid w:val="00396EB4"/>
    <w:rsid w:val="003972C3"/>
    <w:rsid w:val="00397C73"/>
    <w:rsid w:val="00397CF4"/>
    <w:rsid w:val="00397FE2"/>
    <w:rsid w:val="003A011A"/>
    <w:rsid w:val="003A0316"/>
    <w:rsid w:val="003A057F"/>
    <w:rsid w:val="003A0953"/>
    <w:rsid w:val="003A0C4F"/>
    <w:rsid w:val="003A102A"/>
    <w:rsid w:val="003A1102"/>
    <w:rsid w:val="003A1268"/>
    <w:rsid w:val="003A1B50"/>
    <w:rsid w:val="003A1C92"/>
    <w:rsid w:val="003A23CD"/>
    <w:rsid w:val="003A26E4"/>
    <w:rsid w:val="003A28FF"/>
    <w:rsid w:val="003A2B85"/>
    <w:rsid w:val="003A2D6D"/>
    <w:rsid w:val="003A2FDC"/>
    <w:rsid w:val="003A3444"/>
    <w:rsid w:val="003A37E6"/>
    <w:rsid w:val="003A3AF7"/>
    <w:rsid w:val="003A3D2E"/>
    <w:rsid w:val="003A4092"/>
    <w:rsid w:val="003A40A2"/>
    <w:rsid w:val="003A42AE"/>
    <w:rsid w:val="003A43AD"/>
    <w:rsid w:val="003A44D3"/>
    <w:rsid w:val="003A487B"/>
    <w:rsid w:val="003A4981"/>
    <w:rsid w:val="003A4F59"/>
    <w:rsid w:val="003A5E4E"/>
    <w:rsid w:val="003A6342"/>
    <w:rsid w:val="003A63A3"/>
    <w:rsid w:val="003A6E75"/>
    <w:rsid w:val="003A6F27"/>
    <w:rsid w:val="003A75DB"/>
    <w:rsid w:val="003B02A3"/>
    <w:rsid w:val="003B0690"/>
    <w:rsid w:val="003B0776"/>
    <w:rsid w:val="003B0EAC"/>
    <w:rsid w:val="003B13D9"/>
    <w:rsid w:val="003B18FB"/>
    <w:rsid w:val="003B1B93"/>
    <w:rsid w:val="003B1F1C"/>
    <w:rsid w:val="003B26EE"/>
    <w:rsid w:val="003B26FF"/>
    <w:rsid w:val="003B28FA"/>
    <w:rsid w:val="003B2EDF"/>
    <w:rsid w:val="003B2F4A"/>
    <w:rsid w:val="003B312E"/>
    <w:rsid w:val="003B332C"/>
    <w:rsid w:val="003B3415"/>
    <w:rsid w:val="003B3664"/>
    <w:rsid w:val="003B3E49"/>
    <w:rsid w:val="003B4145"/>
    <w:rsid w:val="003B4419"/>
    <w:rsid w:val="003B447F"/>
    <w:rsid w:val="003B44D5"/>
    <w:rsid w:val="003B546D"/>
    <w:rsid w:val="003B556F"/>
    <w:rsid w:val="003B579A"/>
    <w:rsid w:val="003B57DA"/>
    <w:rsid w:val="003B5952"/>
    <w:rsid w:val="003B6577"/>
    <w:rsid w:val="003B65EB"/>
    <w:rsid w:val="003B66A7"/>
    <w:rsid w:val="003B6DF1"/>
    <w:rsid w:val="003B7B70"/>
    <w:rsid w:val="003B7D39"/>
    <w:rsid w:val="003B7F21"/>
    <w:rsid w:val="003C0264"/>
    <w:rsid w:val="003C0EFA"/>
    <w:rsid w:val="003C0F8A"/>
    <w:rsid w:val="003C1069"/>
    <w:rsid w:val="003C1435"/>
    <w:rsid w:val="003C19D6"/>
    <w:rsid w:val="003C2122"/>
    <w:rsid w:val="003C26A9"/>
    <w:rsid w:val="003C281A"/>
    <w:rsid w:val="003C289C"/>
    <w:rsid w:val="003C317D"/>
    <w:rsid w:val="003C31BC"/>
    <w:rsid w:val="003C32D9"/>
    <w:rsid w:val="003C3A84"/>
    <w:rsid w:val="003C3D07"/>
    <w:rsid w:val="003C3F0B"/>
    <w:rsid w:val="003C44C8"/>
    <w:rsid w:val="003C4666"/>
    <w:rsid w:val="003C4880"/>
    <w:rsid w:val="003C4CB9"/>
    <w:rsid w:val="003C4D9F"/>
    <w:rsid w:val="003C4EA8"/>
    <w:rsid w:val="003C4F49"/>
    <w:rsid w:val="003C4FA9"/>
    <w:rsid w:val="003C5138"/>
    <w:rsid w:val="003C5277"/>
    <w:rsid w:val="003C5308"/>
    <w:rsid w:val="003C56A6"/>
    <w:rsid w:val="003C5750"/>
    <w:rsid w:val="003C5810"/>
    <w:rsid w:val="003C62C1"/>
    <w:rsid w:val="003C6349"/>
    <w:rsid w:val="003C6D94"/>
    <w:rsid w:val="003C6DAF"/>
    <w:rsid w:val="003C7478"/>
    <w:rsid w:val="003C754D"/>
    <w:rsid w:val="003C7662"/>
    <w:rsid w:val="003C782B"/>
    <w:rsid w:val="003C79FD"/>
    <w:rsid w:val="003D007E"/>
    <w:rsid w:val="003D008F"/>
    <w:rsid w:val="003D01F4"/>
    <w:rsid w:val="003D02C8"/>
    <w:rsid w:val="003D0398"/>
    <w:rsid w:val="003D0403"/>
    <w:rsid w:val="003D0571"/>
    <w:rsid w:val="003D08D8"/>
    <w:rsid w:val="003D0D52"/>
    <w:rsid w:val="003D0F39"/>
    <w:rsid w:val="003D1669"/>
    <w:rsid w:val="003D16B6"/>
    <w:rsid w:val="003D1AC9"/>
    <w:rsid w:val="003D1C43"/>
    <w:rsid w:val="003D1CBD"/>
    <w:rsid w:val="003D1D2C"/>
    <w:rsid w:val="003D1E70"/>
    <w:rsid w:val="003D2019"/>
    <w:rsid w:val="003D202C"/>
    <w:rsid w:val="003D21C9"/>
    <w:rsid w:val="003D225C"/>
    <w:rsid w:val="003D245E"/>
    <w:rsid w:val="003D27F4"/>
    <w:rsid w:val="003D38F1"/>
    <w:rsid w:val="003D3A20"/>
    <w:rsid w:val="003D3ED2"/>
    <w:rsid w:val="003D413B"/>
    <w:rsid w:val="003D41EA"/>
    <w:rsid w:val="003D4220"/>
    <w:rsid w:val="003D4387"/>
    <w:rsid w:val="003D4AA9"/>
    <w:rsid w:val="003D4B4F"/>
    <w:rsid w:val="003D4E5A"/>
    <w:rsid w:val="003D5543"/>
    <w:rsid w:val="003D58D0"/>
    <w:rsid w:val="003D58F3"/>
    <w:rsid w:val="003D5994"/>
    <w:rsid w:val="003D5BE5"/>
    <w:rsid w:val="003D5DAB"/>
    <w:rsid w:val="003D6503"/>
    <w:rsid w:val="003D6EF4"/>
    <w:rsid w:val="003D7135"/>
    <w:rsid w:val="003D7360"/>
    <w:rsid w:val="003D7EC9"/>
    <w:rsid w:val="003E0511"/>
    <w:rsid w:val="003E10B0"/>
    <w:rsid w:val="003E1242"/>
    <w:rsid w:val="003E14AD"/>
    <w:rsid w:val="003E16DD"/>
    <w:rsid w:val="003E1B9D"/>
    <w:rsid w:val="003E207D"/>
    <w:rsid w:val="003E24C4"/>
    <w:rsid w:val="003E283B"/>
    <w:rsid w:val="003E28F7"/>
    <w:rsid w:val="003E2C03"/>
    <w:rsid w:val="003E2F57"/>
    <w:rsid w:val="003E320B"/>
    <w:rsid w:val="003E3317"/>
    <w:rsid w:val="003E3808"/>
    <w:rsid w:val="003E3B87"/>
    <w:rsid w:val="003E4323"/>
    <w:rsid w:val="003E4636"/>
    <w:rsid w:val="003E48B2"/>
    <w:rsid w:val="003E4968"/>
    <w:rsid w:val="003E4C35"/>
    <w:rsid w:val="003E50D2"/>
    <w:rsid w:val="003E58B0"/>
    <w:rsid w:val="003E5A72"/>
    <w:rsid w:val="003E5B65"/>
    <w:rsid w:val="003E5DFE"/>
    <w:rsid w:val="003E615A"/>
    <w:rsid w:val="003E6383"/>
    <w:rsid w:val="003E68E5"/>
    <w:rsid w:val="003E69D0"/>
    <w:rsid w:val="003E717F"/>
    <w:rsid w:val="003E7303"/>
    <w:rsid w:val="003E7783"/>
    <w:rsid w:val="003E796A"/>
    <w:rsid w:val="003E7A7E"/>
    <w:rsid w:val="003E7D54"/>
    <w:rsid w:val="003E7F09"/>
    <w:rsid w:val="003F00EE"/>
    <w:rsid w:val="003F0375"/>
    <w:rsid w:val="003F0715"/>
    <w:rsid w:val="003F0EB9"/>
    <w:rsid w:val="003F0F18"/>
    <w:rsid w:val="003F11CC"/>
    <w:rsid w:val="003F1291"/>
    <w:rsid w:val="003F167D"/>
    <w:rsid w:val="003F19F3"/>
    <w:rsid w:val="003F1AF9"/>
    <w:rsid w:val="003F1EB2"/>
    <w:rsid w:val="003F2097"/>
    <w:rsid w:val="003F2182"/>
    <w:rsid w:val="003F224F"/>
    <w:rsid w:val="003F2880"/>
    <w:rsid w:val="003F2BEA"/>
    <w:rsid w:val="003F2EAC"/>
    <w:rsid w:val="003F35A6"/>
    <w:rsid w:val="003F39A9"/>
    <w:rsid w:val="003F4582"/>
    <w:rsid w:val="003F4713"/>
    <w:rsid w:val="003F48DF"/>
    <w:rsid w:val="003F4A16"/>
    <w:rsid w:val="003F54E5"/>
    <w:rsid w:val="003F590F"/>
    <w:rsid w:val="003F5BD6"/>
    <w:rsid w:val="003F5C09"/>
    <w:rsid w:val="003F5FBE"/>
    <w:rsid w:val="003F6AA0"/>
    <w:rsid w:val="003F6B20"/>
    <w:rsid w:val="003F6CAD"/>
    <w:rsid w:val="003F6D24"/>
    <w:rsid w:val="003F7134"/>
    <w:rsid w:val="003F7554"/>
    <w:rsid w:val="003F756F"/>
    <w:rsid w:val="003F75B5"/>
    <w:rsid w:val="003F7647"/>
    <w:rsid w:val="003F771E"/>
    <w:rsid w:val="003F774C"/>
    <w:rsid w:val="003F7A63"/>
    <w:rsid w:val="003F7EC9"/>
    <w:rsid w:val="003F7FDE"/>
    <w:rsid w:val="004002B7"/>
    <w:rsid w:val="004002FC"/>
    <w:rsid w:val="004004AB"/>
    <w:rsid w:val="0040062E"/>
    <w:rsid w:val="004007FF"/>
    <w:rsid w:val="00400950"/>
    <w:rsid w:val="00400D7D"/>
    <w:rsid w:val="004013C0"/>
    <w:rsid w:val="004015B4"/>
    <w:rsid w:val="004019F2"/>
    <w:rsid w:val="00401C5F"/>
    <w:rsid w:val="00402199"/>
    <w:rsid w:val="004023F4"/>
    <w:rsid w:val="0040260C"/>
    <w:rsid w:val="00402D17"/>
    <w:rsid w:val="00403009"/>
    <w:rsid w:val="0040310E"/>
    <w:rsid w:val="00403385"/>
    <w:rsid w:val="004038BD"/>
    <w:rsid w:val="00403A22"/>
    <w:rsid w:val="00403E78"/>
    <w:rsid w:val="00403EA3"/>
    <w:rsid w:val="00404D61"/>
    <w:rsid w:val="00404ED6"/>
    <w:rsid w:val="00405182"/>
    <w:rsid w:val="0040594D"/>
    <w:rsid w:val="00405DE5"/>
    <w:rsid w:val="00405ED3"/>
    <w:rsid w:val="004069CD"/>
    <w:rsid w:val="00406BC2"/>
    <w:rsid w:val="00406E09"/>
    <w:rsid w:val="00407322"/>
    <w:rsid w:val="00407794"/>
    <w:rsid w:val="00407A91"/>
    <w:rsid w:val="00407B78"/>
    <w:rsid w:val="00407C95"/>
    <w:rsid w:val="00407FC3"/>
    <w:rsid w:val="00407FEA"/>
    <w:rsid w:val="004105A3"/>
    <w:rsid w:val="0041113A"/>
    <w:rsid w:val="00411617"/>
    <w:rsid w:val="00411F81"/>
    <w:rsid w:val="00412273"/>
    <w:rsid w:val="004123D6"/>
    <w:rsid w:val="004127A9"/>
    <w:rsid w:val="00412841"/>
    <w:rsid w:val="00412CF0"/>
    <w:rsid w:val="00413068"/>
    <w:rsid w:val="00413489"/>
    <w:rsid w:val="00413794"/>
    <w:rsid w:val="004138D4"/>
    <w:rsid w:val="0041449D"/>
    <w:rsid w:val="004148A4"/>
    <w:rsid w:val="00414BB0"/>
    <w:rsid w:val="0041522E"/>
    <w:rsid w:val="004156C1"/>
    <w:rsid w:val="00415F95"/>
    <w:rsid w:val="00416212"/>
    <w:rsid w:val="004165BC"/>
    <w:rsid w:val="00416BC0"/>
    <w:rsid w:val="00416C28"/>
    <w:rsid w:val="00416C35"/>
    <w:rsid w:val="00416CC0"/>
    <w:rsid w:val="0041703D"/>
    <w:rsid w:val="0041707B"/>
    <w:rsid w:val="004171BE"/>
    <w:rsid w:val="00417420"/>
    <w:rsid w:val="0041746E"/>
    <w:rsid w:val="004176EA"/>
    <w:rsid w:val="00417740"/>
    <w:rsid w:val="00417A58"/>
    <w:rsid w:val="00417ABA"/>
    <w:rsid w:val="00420180"/>
    <w:rsid w:val="00420445"/>
    <w:rsid w:val="00420702"/>
    <w:rsid w:val="00420ACA"/>
    <w:rsid w:val="00420B46"/>
    <w:rsid w:val="004212C6"/>
    <w:rsid w:val="004215EB"/>
    <w:rsid w:val="00421870"/>
    <w:rsid w:val="004218FE"/>
    <w:rsid w:val="00421929"/>
    <w:rsid w:val="00421A7C"/>
    <w:rsid w:val="004223E5"/>
    <w:rsid w:val="004226BA"/>
    <w:rsid w:val="00422B26"/>
    <w:rsid w:val="00423512"/>
    <w:rsid w:val="0042379B"/>
    <w:rsid w:val="00423C33"/>
    <w:rsid w:val="0042432D"/>
    <w:rsid w:val="004243FE"/>
    <w:rsid w:val="00424724"/>
    <w:rsid w:val="00424B6F"/>
    <w:rsid w:val="00424E9C"/>
    <w:rsid w:val="0042531B"/>
    <w:rsid w:val="004255D9"/>
    <w:rsid w:val="00425D45"/>
    <w:rsid w:val="00426481"/>
    <w:rsid w:val="00426833"/>
    <w:rsid w:val="0042691B"/>
    <w:rsid w:val="00426A0E"/>
    <w:rsid w:val="00426A6D"/>
    <w:rsid w:val="00426C93"/>
    <w:rsid w:val="00426E54"/>
    <w:rsid w:val="00426FE9"/>
    <w:rsid w:val="004270B3"/>
    <w:rsid w:val="004270DA"/>
    <w:rsid w:val="0042717E"/>
    <w:rsid w:val="0042799C"/>
    <w:rsid w:val="00427B11"/>
    <w:rsid w:val="00427C06"/>
    <w:rsid w:val="00427E5F"/>
    <w:rsid w:val="00430601"/>
    <w:rsid w:val="0043124B"/>
    <w:rsid w:val="00431B67"/>
    <w:rsid w:val="00431E55"/>
    <w:rsid w:val="004326BB"/>
    <w:rsid w:val="00432A38"/>
    <w:rsid w:val="00432CF5"/>
    <w:rsid w:val="00432D1F"/>
    <w:rsid w:val="00432EA8"/>
    <w:rsid w:val="00432EDB"/>
    <w:rsid w:val="00432F51"/>
    <w:rsid w:val="0043362C"/>
    <w:rsid w:val="004336C9"/>
    <w:rsid w:val="0043374A"/>
    <w:rsid w:val="00433897"/>
    <w:rsid w:val="00433C9E"/>
    <w:rsid w:val="00433E85"/>
    <w:rsid w:val="00433F5A"/>
    <w:rsid w:val="004345C5"/>
    <w:rsid w:val="00434976"/>
    <w:rsid w:val="00434B6A"/>
    <w:rsid w:val="00434C74"/>
    <w:rsid w:val="00434D5B"/>
    <w:rsid w:val="00434DD9"/>
    <w:rsid w:val="00434E18"/>
    <w:rsid w:val="004354A2"/>
    <w:rsid w:val="00435538"/>
    <w:rsid w:val="00435AF0"/>
    <w:rsid w:val="00435D3D"/>
    <w:rsid w:val="00435F60"/>
    <w:rsid w:val="00436108"/>
    <w:rsid w:val="004363AA"/>
    <w:rsid w:val="0043646C"/>
    <w:rsid w:val="00436C17"/>
    <w:rsid w:val="00436E9B"/>
    <w:rsid w:val="0043757C"/>
    <w:rsid w:val="004377EC"/>
    <w:rsid w:val="0043788B"/>
    <w:rsid w:val="00440272"/>
    <w:rsid w:val="00440396"/>
    <w:rsid w:val="00440414"/>
    <w:rsid w:val="00440915"/>
    <w:rsid w:val="00440B24"/>
    <w:rsid w:val="00440D0B"/>
    <w:rsid w:val="00440EDB"/>
    <w:rsid w:val="00441021"/>
    <w:rsid w:val="00441553"/>
    <w:rsid w:val="004415EF"/>
    <w:rsid w:val="0044169A"/>
    <w:rsid w:val="00441C50"/>
    <w:rsid w:val="00441C7A"/>
    <w:rsid w:val="00442088"/>
    <w:rsid w:val="004422DC"/>
    <w:rsid w:val="0044294E"/>
    <w:rsid w:val="00442AC3"/>
    <w:rsid w:val="00442E9B"/>
    <w:rsid w:val="004430CE"/>
    <w:rsid w:val="00443466"/>
    <w:rsid w:val="004434AE"/>
    <w:rsid w:val="0044359A"/>
    <w:rsid w:val="004435F0"/>
    <w:rsid w:val="004439B9"/>
    <w:rsid w:val="00443FC0"/>
    <w:rsid w:val="00444136"/>
    <w:rsid w:val="00444177"/>
    <w:rsid w:val="00444279"/>
    <w:rsid w:val="00444305"/>
    <w:rsid w:val="004445FD"/>
    <w:rsid w:val="00444C31"/>
    <w:rsid w:val="0044514D"/>
    <w:rsid w:val="00445174"/>
    <w:rsid w:val="004452A1"/>
    <w:rsid w:val="004462F9"/>
    <w:rsid w:val="00446502"/>
    <w:rsid w:val="00446B6B"/>
    <w:rsid w:val="0044728F"/>
    <w:rsid w:val="0044736C"/>
    <w:rsid w:val="0044746A"/>
    <w:rsid w:val="004475FA"/>
    <w:rsid w:val="004479B6"/>
    <w:rsid w:val="004505BC"/>
    <w:rsid w:val="00450665"/>
    <w:rsid w:val="00450783"/>
    <w:rsid w:val="00450E50"/>
    <w:rsid w:val="00451022"/>
    <w:rsid w:val="004513F0"/>
    <w:rsid w:val="00451506"/>
    <w:rsid w:val="0045172D"/>
    <w:rsid w:val="00451754"/>
    <w:rsid w:val="00451814"/>
    <w:rsid w:val="004521B1"/>
    <w:rsid w:val="0045223C"/>
    <w:rsid w:val="00452508"/>
    <w:rsid w:val="004527CD"/>
    <w:rsid w:val="00452875"/>
    <w:rsid w:val="00452924"/>
    <w:rsid w:val="004529C6"/>
    <w:rsid w:val="00452B32"/>
    <w:rsid w:val="00452C7F"/>
    <w:rsid w:val="00452CA1"/>
    <w:rsid w:val="00452CAC"/>
    <w:rsid w:val="00452D20"/>
    <w:rsid w:val="00453236"/>
    <w:rsid w:val="0045341A"/>
    <w:rsid w:val="00453968"/>
    <w:rsid w:val="00453C4A"/>
    <w:rsid w:val="00453CF2"/>
    <w:rsid w:val="00453ECA"/>
    <w:rsid w:val="0045427D"/>
    <w:rsid w:val="004548D1"/>
    <w:rsid w:val="00454FA9"/>
    <w:rsid w:val="00455185"/>
    <w:rsid w:val="00455244"/>
    <w:rsid w:val="00455259"/>
    <w:rsid w:val="00455821"/>
    <w:rsid w:val="00455CAC"/>
    <w:rsid w:val="00456105"/>
    <w:rsid w:val="00456458"/>
    <w:rsid w:val="00456B67"/>
    <w:rsid w:val="00456D0A"/>
    <w:rsid w:val="0045707D"/>
    <w:rsid w:val="004574CE"/>
    <w:rsid w:val="004575A2"/>
    <w:rsid w:val="00457826"/>
    <w:rsid w:val="004579A5"/>
    <w:rsid w:val="00457B66"/>
    <w:rsid w:val="00457D4F"/>
    <w:rsid w:val="00457F2A"/>
    <w:rsid w:val="0046003A"/>
    <w:rsid w:val="004604EA"/>
    <w:rsid w:val="00460A87"/>
    <w:rsid w:val="00460CDF"/>
    <w:rsid w:val="00461205"/>
    <w:rsid w:val="0046164C"/>
    <w:rsid w:val="004619EE"/>
    <w:rsid w:val="00462E3B"/>
    <w:rsid w:val="004631C4"/>
    <w:rsid w:val="004631DA"/>
    <w:rsid w:val="00463292"/>
    <w:rsid w:val="00463349"/>
    <w:rsid w:val="0046339D"/>
    <w:rsid w:val="0046354A"/>
    <w:rsid w:val="0046372B"/>
    <w:rsid w:val="00463B1D"/>
    <w:rsid w:val="00463EBB"/>
    <w:rsid w:val="00463F17"/>
    <w:rsid w:val="0046413F"/>
    <w:rsid w:val="0046430E"/>
    <w:rsid w:val="00464456"/>
    <w:rsid w:val="004644CB"/>
    <w:rsid w:val="004649E5"/>
    <w:rsid w:val="00464F70"/>
    <w:rsid w:val="00465314"/>
    <w:rsid w:val="00465A56"/>
    <w:rsid w:val="00465AD8"/>
    <w:rsid w:val="00465DD1"/>
    <w:rsid w:val="00465F23"/>
    <w:rsid w:val="00466357"/>
    <w:rsid w:val="004664B2"/>
    <w:rsid w:val="00466930"/>
    <w:rsid w:val="00466963"/>
    <w:rsid w:val="00466C9D"/>
    <w:rsid w:val="004700E8"/>
    <w:rsid w:val="004701AA"/>
    <w:rsid w:val="004705B3"/>
    <w:rsid w:val="00470641"/>
    <w:rsid w:val="00470954"/>
    <w:rsid w:val="00470B0D"/>
    <w:rsid w:val="00470CD0"/>
    <w:rsid w:val="00470D0F"/>
    <w:rsid w:val="00470D9B"/>
    <w:rsid w:val="004710C1"/>
    <w:rsid w:val="004711FD"/>
    <w:rsid w:val="00471264"/>
    <w:rsid w:val="00471274"/>
    <w:rsid w:val="0047139A"/>
    <w:rsid w:val="004714C8"/>
    <w:rsid w:val="00471A50"/>
    <w:rsid w:val="0047208A"/>
    <w:rsid w:val="0047208C"/>
    <w:rsid w:val="00472398"/>
    <w:rsid w:val="004723D4"/>
    <w:rsid w:val="004724BB"/>
    <w:rsid w:val="004725DA"/>
    <w:rsid w:val="004729F0"/>
    <w:rsid w:val="00472BB0"/>
    <w:rsid w:val="0047308C"/>
    <w:rsid w:val="004732BC"/>
    <w:rsid w:val="0047364A"/>
    <w:rsid w:val="00473759"/>
    <w:rsid w:val="00473A0F"/>
    <w:rsid w:val="004741E8"/>
    <w:rsid w:val="004742FB"/>
    <w:rsid w:val="004747F5"/>
    <w:rsid w:val="00474D3B"/>
    <w:rsid w:val="00474D76"/>
    <w:rsid w:val="00474EB3"/>
    <w:rsid w:val="00474F35"/>
    <w:rsid w:val="00475160"/>
    <w:rsid w:val="0047531C"/>
    <w:rsid w:val="00475476"/>
    <w:rsid w:val="00475499"/>
    <w:rsid w:val="00475564"/>
    <w:rsid w:val="00475A6E"/>
    <w:rsid w:val="00475F6E"/>
    <w:rsid w:val="00476306"/>
    <w:rsid w:val="00476B76"/>
    <w:rsid w:val="004770BC"/>
    <w:rsid w:val="004770FB"/>
    <w:rsid w:val="00477B32"/>
    <w:rsid w:val="00477CEE"/>
    <w:rsid w:val="0048007B"/>
    <w:rsid w:val="0048007F"/>
    <w:rsid w:val="0048011B"/>
    <w:rsid w:val="00480ED9"/>
    <w:rsid w:val="00481101"/>
    <w:rsid w:val="0048134F"/>
    <w:rsid w:val="004814C2"/>
    <w:rsid w:val="00481604"/>
    <w:rsid w:val="00481A88"/>
    <w:rsid w:val="00481D71"/>
    <w:rsid w:val="004823C0"/>
    <w:rsid w:val="00482AAE"/>
    <w:rsid w:val="00483131"/>
    <w:rsid w:val="00483552"/>
    <w:rsid w:val="0048373B"/>
    <w:rsid w:val="0048375E"/>
    <w:rsid w:val="004839F3"/>
    <w:rsid w:val="00484537"/>
    <w:rsid w:val="00484604"/>
    <w:rsid w:val="00484F33"/>
    <w:rsid w:val="00485555"/>
    <w:rsid w:val="00485928"/>
    <w:rsid w:val="00485AB8"/>
    <w:rsid w:val="00485F20"/>
    <w:rsid w:val="004861BC"/>
    <w:rsid w:val="004863B7"/>
    <w:rsid w:val="00486586"/>
    <w:rsid w:val="004865E5"/>
    <w:rsid w:val="00486B49"/>
    <w:rsid w:val="00486FDC"/>
    <w:rsid w:val="00487033"/>
    <w:rsid w:val="0048768F"/>
    <w:rsid w:val="00487946"/>
    <w:rsid w:val="00487A91"/>
    <w:rsid w:val="00487D32"/>
    <w:rsid w:val="00487D36"/>
    <w:rsid w:val="00490489"/>
    <w:rsid w:val="00490573"/>
    <w:rsid w:val="00490DB9"/>
    <w:rsid w:val="00491047"/>
    <w:rsid w:val="00491162"/>
    <w:rsid w:val="00491282"/>
    <w:rsid w:val="004912BB"/>
    <w:rsid w:val="00491401"/>
    <w:rsid w:val="0049189F"/>
    <w:rsid w:val="00491950"/>
    <w:rsid w:val="00491C29"/>
    <w:rsid w:val="00491CF1"/>
    <w:rsid w:val="00491D4C"/>
    <w:rsid w:val="00491D73"/>
    <w:rsid w:val="00491E2D"/>
    <w:rsid w:val="00491EC9"/>
    <w:rsid w:val="0049231C"/>
    <w:rsid w:val="0049244D"/>
    <w:rsid w:val="00492B40"/>
    <w:rsid w:val="00492EA3"/>
    <w:rsid w:val="00492FDC"/>
    <w:rsid w:val="004931F2"/>
    <w:rsid w:val="00493630"/>
    <w:rsid w:val="00493E93"/>
    <w:rsid w:val="004940D6"/>
    <w:rsid w:val="00494526"/>
    <w:rsid w:val="00494686"/>
    <w:rsid w:val="004946C1"/>
    <w:rsid w:val="00494719"/>
    <w:rsid w:val="00494E4C"/>
    <w:rsid w:val="00494F34"/>
    <w:rsid w:val="00494F8E"/>
    <w:rsid w:val="004953E1"/>
    <w:rsid w:val="004954A3"/>
    <w:rsid w:val="004955A1"/>
    <w:rsid w:val="00495688"/>
    <w:rsid w:val="004956BE"/>
    <w:rsid w:val="004958D2"/>
    <w:rsid w:val="00495FE4"/>
    <w:rsid w:val="0049601C"/>
    <w:rsid w:val="004961C5"/>
    <w:rsid w:val="0049628F"/>
    <w:rsid w:val="00496A27"/>
    <w:rsid w:val="00496EC2"/>
    <w:rsid w:val="0049739B"/>
    <w:rsid w:val="00497512"/>
    <w:rsid w:val="00497543"/>
    <w:rsid w:val="00497734"/>
    <w:rsid w:val="00497CF2"/>
    <w:rsid w:val="00497FEA"/>
    <w:rsid w:val="004A03D1"/>
    <w:rsid w:val="004A0701"/>
    <w:rsid w:val="004A0848"/>
    <w:rsid w:val="004A0ACB"/>
    <w:rsid w:val="004A0B3F"/>
    <w:rsid w:val="004A0E14"/>
    <w:rsid w:val="004A0EE0"/>
    <w:rsid w:val="004A1208"/>
    <w:rsid w:val="004A14FF"/>
    <w:rsid w:val="004A1DF1"/>
    <w:rsid w:val="004A2265"/>
    <w:rsid w:val="004A22CD"/>
    <w:rsid w:val="004A23E2"/>
    <w:rsid w:val="004A2D48"/>
    <w:rsid w:val="004A30A0"/>
    <w:rsid w:val="004A3400"/>
    <w:rsid w:val="004A384E"/>
    <w:rsid w:val="004A3C47"/>
    <w:rsid w:val="004A3D75"/>
    <w:rsid w:val="004A4183"/>
    <w:rsid w:val="004A463A"/>
    <w:rsid w:val="004A47C1"/>
    <w:rsid w:val="004A49BF"/>
    <w:rsid w:val="004A4C48"/>
    <w:rsid w:val="004A51AD"/>
    <w:rsid w:val="004A535E"/>
    <w:rsid w:val="004A59CF"/>
    <w:rsid w:val="004A608C"/>
    <w:rsid w:val="004A62AE"/>
    <w:rsid w:val="004A6429"/>
    <w:rsid w:val="004A66C8"/>
    <w:rsid w:val="004A67A1"/>
    <w:rsid w:val="004A6983"/>
    <w:rsid w:val="004A6E62"/>
    <w:rsid w:val="004A75AF"/>
    <w:rsid w:val="004A75F4"/>
    <w:rsid w:val="004A78FF"/>
    <w:rsid w:val="004A7D2C"/>
    <w:rsid w:val="004A7E27"/>
    <w:rsid w:val="004B0144"/>
    <w:rsid w:val="004B0789"/>
    <w:rsid w:val="004B09C2"/>
    <w:rsid w:val="004B0D67"/>
    <w:rsid w:val="004B0F2A"/>
    <w:rsid w:val="004B1118"/>
    <w:rsid w:val="004B1131"/>
    <w:rsid w:val="004B168F"/>
    <w:rsid w:val="004B1709"/>
    <w:rsid w:val="004B1C22"/>
    <w:rsid w:val="004B1D15"/>
    <w:rsid w:val="004B23CC"/>
    <w:rsid w:val="004B24A0"/>
    <w:rsid w:val="004B24E9"/>
    <w:rsid w:val="004B2586"/>
    <w:rsid w:val="004B29A5"/>
    <w:rsid w:val="004B2D67"/>
    <w:rsid w:val="004B2FE7"/>
    <w:rsid w:val="004B31B3"/>
    <w:rsid w:val="004B3244"/>
    <w:rsid w:val="004B3298"/>
    <w:rsid w:val="004B3356"/>
    <w:rsid w:val="004B3357"/>
    <w:rsid w:val="004B34CC"/>
    <w:rsid w:val="004B35D0"/>
    <w:rsid w:val="004B3784"/>
    <w:rsid w:val="004B38A1"/>
    <w:rsid w:val="004B3C85"/>
    <w:rsid w:val="004B43FF"/>
    <w:rsid w:val="004B460F"/>
    <w:rsid w:val="004B464C"/>
    <w:rsid w:val="004B46DB"/>
    <w:rsid w:val="004B4768"/>
    <w:rsid w:val="004B48B9"/>
    <w:rsid w:val="004B4950"/>
    <w:rsid w:val="004B4DFD"/>
    <w:rsid w:val="004B4F00"/>
    <w:rsid w:val="004B4F5C"/>
    <w:rsid w:val="004B4F92"/>
    <w:rsid w:val="004B59A9"/>
    <w:rsid w:val="004B5ABB"/>
    <w:rsid w:val="004B5B66"/>
    <w:rsid w:val="004B5ED4"/>
    <w:rsid w:val="004B617F"/>
    <w:rsid w:val="004B6AD1"/>
    <w:rsid w:val="004B6E1E"/>
    <w:rsid w:val="004B74D2"/>
    <w:rsid w:val="004B7883"/>
    <w:rsid w:val="004B7D17"/>
    <w:rsid w:val="004B7FF9"/>
    <w:rsid w:val="004C0CB2"/>
    <w:rsid w:val="004C0D52"/>
    <w:rsid w:val="004C0E9E"/>
    <w:rsid w:val="004C104D"/>
    <w:rsid w:val="004C10AD"/>
    <w:rsid w:val="004C1641"/>
    <w:rsid w:val="004C1C48"/>
    <w:rsid w:val="004C1DE4"/>
    <w:rsid w:val="004C203D"/>
    <w:rsid w:val="004C20CC"/>
    <w:rsid w:val="004C2126"/>
    <w:rsid w:val="004C22BE"/>
    <w:rsid w:val="004C24F6"/>
    <w:rsid w:val="004C2572"/>
    <w:rsid w:val="004C2BA1"/>
    <w:rsid w:val="004C2E2E"/>
    <w:rsid w:val="004C2F60"/>
    <w:rsid w:val="004C2F6E"/>
    <w:rsid w:val="004C3004"/>
    <w:rsid w:val="004C315D"/>
    <w:rsid w:val="004C31FD"/>
    <w:rsid w:val="004C4126"/>
    <w:rsid w:val="004C45C6"/>
    <w:rsid w:val="004C4853"/>
    <w:rsid w:val="004C4D70"/>
    <w:rsid w:val="004C4F7B"/>
    <w:rsid w:val="004C50A1"/>
    <w:rsid w:val="004C5BE7"/>
    <w:rsid w:val="004C5C66"/>
    <w:rsid w:val="004C5F85"/>
    <w:rsid w:val="004C6490"/>
    <w:rsid w:val="004C6545"/>
    <w:rsid w:val="004C6AC5"/>
    <w:rsid w:val="004C706C"/>
    <w:rsid w:val="004C715F"/>
    <w:rsid w:val="004C73C0"/>
    <w:rsid w:val="004C7795"/>
    <w:rsid w:val="004C77DC"/>
    <w:rsid w:val="004C7E6B"/>
    <w:rsid w:val="004D007C"/>
    <w:rsid w:val="004D01D4"/>
    <w:rsid w:val="004D02AB"/>
    <w:rsid w:val="004D0521"/>
    <w:rsid w:val="004D0788"/>
    <w:rsid w:val="004D0B84"/>
    <w:rsid w:val="004D0F3D"/>
    <w:rsid w:val="004D1053"/>
    <w:rsid w:val="004D1285"/>
    <w:rsid w:val="004D18FE"/>
    <w:rsid w:val="004D1E1A"/>
    <w:rsid w:val="004D2381"/>
    <w:rsid w:val="004D26AB"/>
    <w:rsid w:val="004D2814"/>
    <w:rsid w:val="004D2A70"/>
    <w:rsid w:val="004D3150"/>
    <w:rsid w:val="004D321E"/>
    <w:rsid w:val="004D32B6"/>
    <w:rsid w:val="004D3B4E"/>
    <w:rsid w:val="004D3E33"/>
    <w:rsid w:val="004D3F07"/>
    <w:rsid w:val="004D44C6"/>
    <w:rsid w:val="004D4640"/>
    <w:rsid w:val="004D4724"/>
    <w:rsid w:val="004D4B09"/>
    <w:rsid w:val="004D4E7D"/>
    <w:rsid w:val="004D52F2"/>
    <w:rsid w:val="004D53EE"/>
    <w:rsid w:val="004D55E9"/>
    <w:rsid w:val="004D5616"/>
    <w:rsid w:val="004D575D"/>
    <w:rsid w:val="004D5B94"/>
    <w:rsid w:val="004D5D00"/>
    <w:rsid w:val="004D661D"/>
    <w:rsid w:val="004D6BF7"/>
    <w:rsid w:val="004D6C51"/>
    <w:rsid w:val="004D6C67"/>
    <w:rsid w:val="004D6CBD"/>
    <w:rsid w:val="004D70B3"/>
    <w:rsid w:val="004D7338"/>
    <w:rsid w:val="004D7CC7"/>
    <w:rsid w:val="004D7D1C"/>
    <w:rsid w:val="004E0044"/>
    <w:rsid w:val="004E0070"/>
    <w:rsid w:val="004E00F4"/>
    <w:rsid w:val="004E0363"/>
    <w:rsid w:val="004E08E5"/>
    <w:rsid w:val="004E097A"/>
    <w:rsid w:val="004E0AA2"/>
    <w:rsid w:val="004E0B09"/>
    <w:rsid w:val="004E103E"/>
    <w:rsid w:val="004E11E2"/>
    <w:rsid w:val="004E1283"/>
    <w:rsid w:val="004E1287"/>
    <w:rsid w:val="004E1537"/>
    <w:rsid w:val="004E16B4"/>
    <w:rsid w:val="004E1B1D"/>
    <w:rsid w:val="004E1E19"/>
    <w:rsid w:val="004E225B"/>
    <w:rsid w:val="004E242A"/>
    <w:rsid w:val="004E28DF"/>
    <w:rsid w:val="004E29BF"/>
    <w:rsid w:val="004E2AE1"/>
    <w:rsid w:val="004E2F1B"/>
    <w:rsid w:val="004E3493"/>
    <w:rsid w:val="004E355D"/>
    <w:rsid w:val="004E3617"/>
    <w:rsid w:val="004E36BF"/>
    <w:rsid w:val="004E36CE"/>
    <w:rsid w:val="004E38FB"/>
    <w:rsid w:val="004E3CBF"/>
    <w:rsid w:val="004E3EBD"/>
    <w:rsid w:val="004E4400"/>
    <w:rsid w:val="004E48D1"/>
    <w:rsid w:val="004E4999"/>
    <w:rsid w:val="004E499D"/>
    <w:rsid w:val="004E5AC9"/>
    <w:rsid w:val="004E5E19"/>
    <w:rsid w:val="004E6423"/>
    <w:rsid w:val="004E66FA"/>
    <w:rsid w:val="004E699B"/>
    <w:rsid w:val="004E6B9C"/>
    <w:rsid w:val="004E6FBE"/>
    <w:rsid w:val="004E6FBF"/>
    <w:rsid w:val="004E7908"/>
    <w:rsid w:val="004E7A86"/>
    <w:rsid w:val="004E7C10"/>
    <w:rsid w:val="004E7C5A"/>
    <w:rsid w:val="004E7D16"/>
    <w:rsid w:val="004E7FFB"/>
    <w:rsid w:val="004F017E"/>
    <w:rsid w:val="004F03A3"/>
    <w:rsid w:val="004F0698"/>
    <w:rsid w:val="004F0867"/>
    <w:rsid w:val="004F0981"/>
    <w:rsid w:val="004F0D64"/>
    <w:rsid w:val="004F1512"/>
    <w:rsid w:val="004F1738"/>
    <w:rsid w:val="004F189C"/>
    <w:rsid w:val="004F1B11"/>
    <w:rsid w:val="004F1FD5"/>
    <w:rsid w:val="004F1FED"/>
    <w:rsid w:val="004F225F"/>
    <w:rsid w:val="004F274D"/>
    <w:rsid w:val="004F27D0"/>
    <w:rsid w:val="004F2CDD"/>
    <w:rsid w:val="004F33FB"/>
    <w:rsid w:val="004F3557"/>
    <w:rsid w:val="004F3618"/>
    <w:rsid w:val="004F3736"/>
    <w:rsid w:val="004F37C5"/>
    <w:rsid w:val="004F3864"/>
    <w:rsid w:val="004F3DA5"/>
    <w:rsid w:val="004F408F"/>
    <w:rsid w:val="004F49A5"/>
    <w:rsid w:val="004F4BFF"/>
    <w:rsid w:val="004F4D83"/>
    <w:rsid w:val="004F4E95"/>
    <w:rsid w:val="004F512B"/>
    <w:rsid w:val="004F5978"/>
    <w:rsid w:val="004F5C1B"/>
    <w:rsid w:val="004F6B6C"/>
    <w:rsid w:val="004F6BCF"/>
    <w:rsid w:val="004F6ED0"/>
    <w:rsid w:val="004F7590"/>
    <w:rsid w:val="004F77AC"/>
    <w:rsid w:val="005000F6"/>
    <w:rsid w:val="00500251"/>
    <w:rsid w:val="005008BF"/>
    <w:rsid w:val="00500BAA"/>
    <w:rsid w:val="00500CFB"/>
    <w:rsid w:val="00500D3D"/>
    <w:rsid w:val="0050118D"/>
    <w:rsid w:val="005011FC"/>
    <w:rsid w:val="0050122F"/>
    <w:rsid w:val="005015CB"/>
    <w:rsid w:val="00501753"/>
    <w:rsid w:val="00501790"/>
    <w:rsid w:val="00501BA2"/>
    <w:rsid w:val="00501C15"/>
    <w:rsid w:val="00501F77"/>
    <w:rsid w:val="005020D7"/>
    <w:rsid w:val="00502509"/>
    <w:rsid w:val="0050284B"/>
    <w:rsid w:val="005029BB"/>
    <w:rsid w:val="00502A87"/>
    <w:rsid w:val="00502E55"/>
    <w:rsid w:val="00502F16"/>
    <w:rsid w:val="00502FA5"/>
    <w:rsid w:val="0050346F"/>
    <w:rsid w:val="005034B9"/>
    <w:rsid w:val="005036FF"/>
    <w:rsid w:val="005038F9"/>
    <w:rsid w:val="00503A61"/>
    <w:rsid w:val="00503D36"/>
    <w:rsid w:val="005045F3"/>
    <w:rsid w:val="005046A8"/>
    <w:rsid w:val="00504850"/>
    <w:rsid w:val="00504A91"/>
    <w:rsid w:val="00504B61"/>
    <w:rsid w:val="00504C46"/>
    <w:rsid w:val="00504DA4"/>
    <w:rsid w:val="00505036"/>
    <w:rsid w:val="005051BC"/>
    <w:rsid w:val="00505313"/>
    <w:rsid w:val="00505961"/>
    <w:rsid w:val="00505AA9"/>
    <w:rsid w:val="00505DB5"/>
    <w:rsid w:val="005066AB"/>
    <w:rsid w:val="00506F61"/>
    <w:rsid w:val="005075D6"/>
    <w:rsid w:val="00507B46"/>
    <w:rsid w:val="00507DF7"/>
    <w:rsid w:val="00510015"/>
    <w:rsid w:val="005106D4"/>
    <w:rsid w:val="005108AA"/>
    <w:rsid w:val="00510A07"/>
    <w:rsid w:val="00510A35"/>
    <w:rsid w:val="0051135F"/>
    <w:rsid w:val="00511708"/>
    <w:rsid w:val="00511767"/>
    <w:rsid w:val="00511CB4"/>
    <w:rsid w:val="00511F68"/>
    <w:rsid w:val="00512752"/>
    <w:rsid w:val="00512878"/>
    <w:rsid w:val="00512C0B"/>
    <w:rsid w:val="00512CF5"/>
    <w:rsid w:val="005136A8"/>
    <w:rsid w:val="005136C9"/>
    <w:rsid w:val="00513A4E"/>
    <w:rsid w:val="00513C6F"/>
    <w:rsid w:val="005140F6"/>
    <w:rsid w:val="00514289"/>
    <w:rsid w:val="0051431F"/>
    <w:rsid w:val="00514541"/>
    <w:rsid w:val="00514CF3"/>
    <w:rsid w:val="00514D35"/>
    <w:rsid w:val="0051508D"/>
    <w:rsid w:val="0051544B"/>
    <w:rsid w:val="00515737"/>
    <w:rsid w:val="00515983"/>
    <w:rsid w:val="00516045"/>
    <w:rsid w:val="00516273"/>
    <w:rsid w:val="005163A1"/>
    <w:rsid w:val="005169D1"/>
    <w:rsid w:val="005169EF"/>
    <w:rsid w:val="00516C6D"/>
    <w:rsid w:val="00516DFE"/>
    <w:rsid w:val="00516E0E"/>
    <w:rsid w:val="0052003A"/>
    <w:rsid w:val="005205FE"/>
    <w:rsid w:val="00521124"/>
    <w:rsid w:val="00521746"/>
    <w:rsid w:val="00521E3C"/>
    <w:rsid w:val="00522493"/>
    <w:rsid w:val="005224E7"/>
    <w:rsid w:val="005224F0"/>
    <w:rsid w:val="00522892"/>
    <w:rsid w:val="00522ADF"/>
    <w:rsid w:val="00523A29"/>
    <w:rsid w:val="00523B26"/>
    <w:rsid w:val="00523CB3"/>
    <w:rsid w:val="0052404D"/>
    <w:rsid w:val="0052424E"/>
    <w:rsid w:val="005243B7"/>
    <w:rsid w:val="00524A1E"/>
    <w:rsid w:val="00524B3C"/>
    <w:rsid w:val="00524C55"/>
    <w:rsid w:val="00525130"/>
    <w:rsid w:val="005252A7"/>
    <w:rsid w:val="0052535E"/>
    <w:rsid w:val="005253C6"/>
    <w:rsid w:val="00525464"/>
    <w:rsid w:val="00525541"/>
    <w:rsid w:val="00525670"/>
    <w:rsid w:val="00525C25"/>
    <w:rsid w:val="00525D6E"/>
    <w:rsid w:val="00525DDA"/>
    <w:rsid w:val="00525E7A"/>
    <w:rsid w:val="00526091"/>
    <w:rsid w:val="0052630E"/>
    <w:rsid w:val="005263F5"/>
    <w:rsid w:val="005264BB"/>
    <w:rsid w:val="0052663A"/>
    <w:rsid w:val="00526B09"/>
    <w:rsid w:val="00526CFD"/>
    <w:rsid w:val="00526D58"/>
    <w:rsid w:val="00526FD4"/>
    <w:rsid w:val="00527337"/>
    <w:rsid w:val="0052776C"/>
    <w:rsid w:val="00527793"/>
    <w:rsid w:val="0052799F"/>
    <w:rsid w:val="00527A08"/>
    <w:rsid w:val="00527A3D"/>
    <w:rsid w:val="00527CF0"/>
    <w:rsid w:val="00527D8D"/>
    <w:rsid w:val="00527FAC"/>
    <w:rsid w:val="005303F9"/>
    <w:rsid w:val="005304C2"/>
    <w:rsid w:val="00530C83"/>
    <w:rsid w:val="00530D22"/>
    <w:rsid w:val="00530D59"/>
    <w:rsid w:val="0053127C"/>
    <w:rsid w:val="00531470"/>
    <w:rsid w:val="0053187F"/>
    <w:rsid w:val="00531C30"/>
    <w:rsid w:val="005324AA"/>
    <w:rsid w:val="005329E6"/>
    <w:rsid w:val="00532A63"/>
    <w:rsid w:val="005332F1"/>
    <w:rsid w:val="00533698"/>
    <w:rsid w:val="005336DF"/>
    <w:rsid w:val="00533E9B"/>
    <w:rsid w:val="00533FB3"/>
    <w:rsid w:val="0053411B"/>
    <w:rsid w:val="00534199"/>
    <w:rsid w:val="005347D4"/>
    <w:rsid w:val="00534816"/>
    <w:rsid w:val="00534A95"/>
    <w:rsid w:val="00534EB9"/>
    <w:rsid w:val="00534EF0"/>
    <w:rsid w:val="005351AC"/>
    <w:rsid w:val="0053551C"/>
    <w:rsid w:val="005355B6"/>
    <w:rsid w:val="00535D44"/>
    <w:rsid w:val="00535DB3"/>
    <w:rsid w:val="00535EEA"/>
    <w:rsid w:val="0053611F"/>
    <w:rsid w:val="005362F5"/>
    <w:rsid w:val="0053651E"/>
    <w:rsid w:val="00536642"/>
    <w:rsid w:val="0053668D"/>
    <w:rsid w:val="00536BDF"/>
    <w:rsid w:val="00536D34"/>
    <w:rsid w:val="00536FAB"/>
    <w:rsid w:val="005372B7"/>
    <w:rsid w:val="005373C4"/>
    <w:rsid w:val="0053749D"/>
    <w:rsid w:val="0053760B"/>
    <w:rsid w:val="00537810"/>
    <w:rsid w:val="005378C6"/>
    <w:rsid w:val="005379FD"/>
    <w:rsid w:val="00537A72"/>
    <w:rsid w:val="00537B63"/>
    <w:rsid w:val="00537BB7"/>
    <w:rsid w:val="00537FF1"/>
    <w:rsid w:val="00540367"/>
    <w:rsid w:val="005404F4"/>
    <w:rsid w:val="005407E1"/>
    <w:rsid w:val="0054086E"/>
    <w:rsid w:val="00540B1D"/>
    <w:rsid w:val="00540C75"/>
    <w:rsid w:val="00540D4D"/>
    <w:rsid w:val="00540DC1"/>
    <w:rsid w:val="005412D2"/>
    <w:rsid w:val="005416C8"/>
    <w:rsid w:val="005417E6"/>
    <w:rsid w:val="00541C15"/>
    <w:rsid w:val="00541C1F"/>
    <w:rsid w:val="00541C90"/>
    <w:rsid w:val="0054244B"/>
    <w:rsid w:val="00542551"/>
    <w:rsid w:val="00542E32"/>
    <w:rsid w:val="005431A4"/>
    <w:rsid w:val="0054331A"/>
    <w:rsid w:val="00543529"/>
    <w:rsid w:val="00543616"/>
    <w:rsid w:val="00543754"/>
    <w:rsid w:val="00543DC2"/>
    <w:rsid w:val="00543FBF"/>
    <w:rsid w:val="00544036"/>
    <w:rsid w:val="005448E2"/>
    <w:rsid w:val="00544AC9"/>
    <w:rsid w:val="00544C02"/>
    <w:rsid w:val="00544EBF"/>
    <w:rsid w:val="00544ECC"/>
    <w:rsid w:val="00544F06"/>
    <w:rsid w:val="00544F4A"/>
    <w:rsid w:val="00544F57"/>
    <w:rsid w:val="00545021"/>
    <w:rsid w:val="005450B8"/>
    <w:rsid w:val="005454E8"/>
    <w:rsid w:val="005457D1"/>
    <w:rsid w:val="00545F1D"/>
    <w:rsid w:val="0054603F"/>
    <w:rsid w:val="00546292"/>
    <w:rsid w:val="00546657"/>
    <w:rsid w:val="00546AAE"/>
    <w:rsid w:val="00546C80"/>
    <w:rsid w:val="00546F8A"/>
    <w:rsid w:val="0054728F"/>
    <w:rsid w:val="005475CA"/>
    <w:rsid w:val="00547AD5"/>
    <w:rsid w:val="00547B32"/>
    <w:rsid w:val="00547C29"/>
    <w:rsid w:val="00547E5F"/>
    <w:rsid w:val="00547F4D"/>
    <w:rsid w:val="00547FBE"/>
    <w:rsid w:val="00550330"/>
    <w:rsid w:val="00550450"/>
    <w:rsid w:val="0055048B"/>
    <w:rsid w:val="005508F0"/>
    <w:rsid w:val="00550AFB"/>
    <w:rsid w:val="00550FFE"/>
    <w:rsid w:val="00551484"/>
    <w:rsid w:val="00551819"/>
    <w:rsid w:val="00551A38"/>
    <w:rsid w:val="00551AD6"/>
    <w:rsid w:val="00552018"/>
    <w:rsid w:val="005520CC"/>
    <w:rsid w:val="00552436"/>
    <w:rsid w:val="00552539"/>
    <w:rsid w:val="00552B06"/>
    <w:rsid w:val="00552C84"/>
    <w:rsid w:val="00552C98"/>
    <w:rsid w:val="00552D3C"/>
    <w:rsid w:val="00552EFB"/>
    <w:rsid w:val="00552F32"/>
    <w:rsid w:val="0055304F"/>
    <w:rsid w:val="0055309A"/>
    <w:rsid w:val="005530AF"/>
    <w:rsid w:val="00553122"/>
    <w:rsid w:val="0055313C"/>
    <w:rsid w:val="005531C3"/>
    <w:rsid w:val="0055352D"/>
    <w:rsid w:val="00553824"/>
    <w:rsid w:val="00553B21"/>
    <w:rsid w:val="00553BA3"/>
    <w:rsid w:val="00553FA3"/>
    <w:rsid w:val="0055417F"/>
    <w:rsid w:val="00554207"/>
    <w:rsid w:val="0055425B"/>
    <w:rsid w:val="00554458"/>
    <w:rsid w:val="00554538"/>
    <w:rsid w:val="0055479C"/>
    <w:rsid w:val="00554B1D"/>
    <w:rsid w:val="005551D7"/>
    <w:rsid w:val="00555894"/>
    <w:rsid w:val="00555C9E"/>
    <w:rsid w:val="00555CB5"/>
    <w:rsid w:val="00555D65"/>
    <w:rsid w:val="00555E5C"/>
    <w:rsid w:val="00555EC4"/>
    <w:rsid w:val="00555EFB"/>
    <w:rsid w:val="00556211"/>
    <w:rsid w:val="0055626D"/>
    <w:rsid w:val="0055641A"/>
    <w:rsid w:val="005565AE"/>
    <w:rsid w:val="00556970"/>
    <w:rsid w:val="00556A90"/>
    <w:rsid w:val="00556C58"/>
    <w:rsid w:val="0055730F"/>
    <w:rsid w:val="00557621"/>
    <w:rsid w:val="0055777D"/>
    <w:rsid w:val="005577E7"/>
    <w:rsid w:val="0055787B"/>
    <w:rsid w:val="00557D42"/>
    <w:rsid w:val="00557FC0"/>
    <w:rsid w:val="00560B4B"/>
    <w:rsid w:val="00560F28"/>
    <w:rsid w:val="005616D9"/>
    <w:rsid w:val="00561ACB"/>
    <w:rsid w:val="00561DD0"/>
    <w:rsid w:val="00561E4B"/>
    <w:rsid w:val="00562001"/>
    <w:rsid w:val="0056275F"/>
    <w:rsid w:val="005627E5"/>
    <w:rsid w:val="00562FBB"/>
    <w:rsid w:val="005630FC"/>
    <w:rsid w:val="005632E5"/>
    <w:rsid w:val="005635BE"/>
    <w:rsid w:val="0056360B"/>
    <w:rsid w:val="00563BD0"/>
    <w:rsid w:val="00563C53"/>
    <w:rsid w:val="00563C6F"/>
    <w:rsid w:val="00563ECF"/>
    <w:rsid w:val="00563EEA"/>
    <w:rsid w:val="0056417D"/>
    <w:rsid w:val="00564320"/>
    <w:rsid w:val="005644B1"/>
    <w:rsid w:val="0056476D"/>
    <w:rsid w:val="00564AB8"/>
    <w:rsid w:val="00564D89"/>
    <w:rsid w:val="00564EF8"/>
    <w:rsid w:val="00564FBC"/>
    <w:rsid w:val="00565142"/>
    <w:rsid w:val="005651A8"/>
    <w:rsid w:val="0056539C"/>
    <w:rsid w:val="005655C1"/>
    <w:rsid w:val="005659F3"/>
    <w:rsid w:val="005661EF"/>
    <w:rsid w:val="00566C6E"/>
    <w:rsid w:val="00566D5C"/>
    <w:rsid w:val="0056732B"/>
    <w:rsid w:val="0056734A"/>
    <w:rsid w:val="005675F8"/>
    <w:rsid w:val="0056771C"/>
    <w:rsid w:val="00567B53"/>
    <w:rsid w:val="00567BF0"/>
    <w:rsid w:val="0057158A"/>
    <w:rsid w:val="0057196F"/>
    <w:rsid w:val="00571C08"/>
    <w:rsid w:val="00571E07"/>
    <w:rsid w:val="00571E42"/>
    <w:rsid w:val="005730B6"/>
    <w:rsid w:val="0057335A"/>
    <w:rsid w:val="0057469C"/>
    <w:rsid w:val="005751F4"/>
    <w:rsid w:val="00575474"/>
    <w:rsid w:val="005758C1"/>
    <w:rsid w:val="00575D02"/>
    <w:rsid w:val="00576862"/>
    <w:rsid w:val="0057708C"/>
    <w:rsid w:val="005772E3"/>
    <w:rsid w:val="0057759B"/>
    <w:rsid w:val="0057760A"/>
    <w:rsid w:val="005777EE"/>
    <w:rsid w:val="005777FD"/>
    <w:rsid w:val="00577A6E"/>
    <w:rsid w:val="00577ADA"/>
    <w:rsid w:val="00577C3F"/>
    <w:rsid w:val="00580067"/>
    <w:rsid w:val="005801A3"/>
    <w:rsid w:val="0058081B"/>
    <w:rsid w:val="00580B43"/>
    <w:rsid w:val="00580DB9"/>
    <w:rsid w:val="005818DA"/>
    <w:rsid w:val="00582918"/>
    <w:rsid w:val="00582B9F"/>
    <w:rsid w:val="00582BD5"/>
    <w:rsid w:val="00583008"/>
    <w:rsid w:val="0058323A"/>
    <w:rsid w:val="00583523"/>
    <w:rsid w:val="005837AD"/>
    <w:rsid w:val="005838D9"/>
    <w:rsid w:val="00583AE0"/>
    <w:rsid w:val="00583E07"/>
    <w:rsid w:val="005840B3"/>
    <w:rsid w:val="0058435D"/>
    <w:rsid w:val="005850B1"/>
    <w:rsid w:val="0058519C"/>
    <w:rsid w:val="0058531A"/>
    <w:rsid w:val="00585766"/>
    <w:rsid w:val="005859F9"/>
    <w:rsid w:val="00585B7F"/>
    <w:rsid w:val="00585E48"/>
    <w:rsid w:val="00586567"/>
    <w:rsid w:val="0058672A"/>
    <w:rsid w:val="005869FD"/>
    <w:rsid w:val="00587757"/>
    <w:rsid w:val="0058798A"/>
    <w:rsid w:val="00587AF6"/>
    <w:rsid w:val="0059069F"/>
    <w:rsid w:val="00590C1E"/>
    <w:rsid w:val="00590F06"/>
    <w:rsid w:val="0059145D"/>
    <w:rsid w:val="0059146C"/>
    <w:rsid w:val="005917E4"/>
    <w:rsid w:val="00591908"/>
    <w:rsid w:val="00591971"/>
    <w:rsid w:val="00591E81"/>
    <w:rsid w:val="00592386"/>
    <w:rsid w:val="00592392"/>
    <w:rsid w:val="005927E6"/>
    <w:rsid w:val="005928D4"/>
    <w:rsid w:val="005928DE"/>
    <w:rsid w:val="00592BAA"/>
    <w:rsid w:val="00592BB2"/>
    <w:rsid w:val="00592D59"/>
    <w:rsid w:val="00593032"/>
    <w:rsid w:val="00593077"/>
    <w:rsid w:val="00593516"/>
    <w:rsid w:val="005939E7"/>
    <w:rsid w:val="00593FEA"/>
    <w:rsid w:val="0059445F"/>
    <w:rsid w:val="00594516"/>
    <w:rsid w:val="00594AEE"/>
    <w:rsid w:val="00595160"/>
    <w:rsid w:val="005956AE"/>
    <w:rsid w:val="005958FC"/>
    <w:rsid w:val="0059593F"/>
    <w:rsid w:val="005959F6"/>
    <w:rsid w:val="005962FD"/>
    <w:rsid w:val="00596D91"/>
    <w:rsid w:val="00597076"/>
    <w:rsid w:val="0059740B"/>
    <w:rsid w:val="00597A23"/>
    <w:rsid w:val="00597AB4"/>
    <w:rsid w:val="00597AFB"/>
    <w:rsid w:val="00597C0D"/>
    <w:rsid w:val="00597DA6"/>
    <w:rsid w:val="00597DC0"/>
    <w:rsid w:val="005A0029"/>
    <w:rsid w:val="005A0267"/>
    <w:rsid w:val="005A0294"/>
    <w:rsid w:val="005A0390"/>
    <w:rsid w:val="005A06FA"/>
    <w:rsid w:val="005A0C19"/>
    <w:rsid w:val="005A16E1"/>
    <w:rsid w:val="005A17E7"/>
    <w:rsid w:val="005A1B12"/>
    <w:rsid w:val="005A1BF7"/>
    <w:rsid w:val="005A207D"/>
    <w:rsid w:val="005A2106"/>
    <w:rsid w:val="005A22C6"/>
    <w:rsid w:val="005A2588"/>
    <w:rsid w:val="005A258B"/>
    <w:rsid w:val="005A27FB"/>
    <w:rsid w:val="005A29EE"/>
    <w:rsid w:val="005A2DAA"/>
    <w:rsid w:val="005A34D0"/>
    <w:rsid w:val="005A3A01"/>
    <w:rsid w:val="005A40C1"/>
    <w:rsid w:val="005A416F"/>
    <w:rsid w:val="005A4AE3"/>
    <w:rsid w:val="005A4EBA"/>
    <w:rsid w:val="005A4F32"/>
    <w:rsid w:val="005A4FC6"/>
    <w:rsid w:val="005A50B3"/>
    <w:rsid w:val="005A51E3"/>
    <w:rsid w:val="005A5953"/>
    <w:rsid w:val="005A618E"/>
    <w:rsid w:val="005A633D"/>
    <w:rsid w:val="005A6587"/>
    <w:rsid w:val="005A6877"/>
    <w:rsid w:val="005A69AF"/>
    <w:rsid w:val="005A6BB0"/>
    <w:rsid w:val="005A6E31"/>
    <w:rsid w:val="005A6E45"/>
    <w:rsid w:val="005A72B9"/>
    <w:rsid w:val="005A780C"/>
    <w:rsid w:val="005B0AEA"/>
    <w:rsid w:val="005B0D34"/>
    <w:rsid w:val="005B0E88"/>
    <w:rsid w:val="005B0F0C"/>
    <w:rsid w:val="005B10B6"/>
    <w:rsid w:val="005B1499"/>
    <w:rsid w:val="005B190F"/>
    <w:rsid w:val="005B191E"/>
    <w:rsid w:val="005B1A88"/>
    <w:rsid w:val="005B1BB9"/>
    <w:rsid w:val="005B21E7"/>
    <w:rsid w:val="005B29CA"/>
    <w:rsid w:val="005B2BBF"/>
    <w:rsid w:val="005B2C3A"/>
    <w:rsid w:val="005B2F1C"/>
    <w:rsid w:val="005B3059"/>
    <w:rsid w:val="005B32C6"/>
    <w:rsid w:val="005B382D"/>
    <w:rsid w:val="005B3D89"/>
    <w:rsid w:val="005B4152"/>
    <w:rsid w:val="005B4264"/>
    <w:rsid w:val="005B531B"/>
    <w:rsid w:val="005B538B"/>
    <w:rsid w:val="005B543C"/>
    <w:rsid w:val="005B56A3"/>
    <w:rsid w:val="005B5928"/>
    <w:rsid w:val="005B5A4B"/>
    <w:rsid w:val="005B602E"/>
    <w:rsid w:val="005B61C1"/>
    <w:rsid w:val="005B6509"/>
    <w:rsid w:val="005B69EC"/>
    <w:rsid w:val="005B6B4A"/>
    <w:rsid w:val="005B7001"/>
    <w:rsid w:val="005B7150"/>
    <w:rsid w:val="005B7511"/>
    <w:rsid w:val="005B7A02"/>
    <w:rsid w:val="005B7D7B"/>
    <w:rsid w:val="005C08F4"/>
    <w:rsid w:val="005C0D8A"/>
    <w:rsid w:val="005C13CE"/>
    <w:rsid w:val="005C1458"/>
    <w:rsid w:val="005C1E67"/>
    <w:rsid w:val="005C1EFA"/>
    <w:rsid w:val="005C258D"/>
    <w:rsid w:val="005C2F64"/>
    <w:rsid w:val="005C3605"/>
    <w:rsid w:val="005C42A3"/>
    <w:rsid w:val="005C4522"/>
    <w:rsid w:val="005C4671"/>
    <w:rsid w:val="005C4A18"/>
    <w:rsid w:val="005C4F39"/>
    <w:rsid w:val="005C5481"/>
    <w:rsid w:val="005C5483"/>
    <w:rsid w:val="005C5C1A"/>
    <w:rsid w:val="005C5F09"/>
    <w:rsid w:val="005C5F25"/>
    <w:rsid w:val="005C605C"/>
    <w:rsid w:val="005C634D"/>
    <w:rsid w:val="005C6DFE"/>
    <w:rsid w:val="005C73C3"/>
    <w:rsid w:val="005C73E3"/>
    <w:rsid w:val="005C7599"/>
    <w:rsid w:val="005C79D0"/>
    <w:rsid w:val="005C7C73"/>
    <w:rsid w:val="005C7CC5"/>
    <w:rsid w:val="005C7E37"/>
    <w:rsid w:val="005D0119"/>
    <w:rsid w:val="005D079A"/>
    <w:rsid w:val="005D0B95"/>
    <w:rsid w:val="005D0C93"/>
    <w:rsid w:val="005D0E72"/>
    <w:rsid w:val="005D0E76"/>
    <w:rsid w:val="005D0F20"/>
    <w:rsid w:val="005D1027"/>
    <w:rsid w:val="005D12A4"/>
    <w:rsid w:val="005D13D4"/>
    <w:rsid w:val="005D1592"/>
    <w:rsid w:val="005D165C"/>
    <w:rsid w:val="005D18D5"/>
    <w:rsid w:val="005D191A"/>
    <w:rsid w:val="005D19C2"/>
    <w:rsid w:val="005D1A8A"/>
    <w:rsid w:val="005D1D3F"/>
    <w:rsid w:val="005D2144"/>
    <w:rsid w:val="005D214C"/>
    <w:rsid w:val="005D225A"/>
    <w:rsid w:val="005D34E7"/>
    <w:rsid w:val="005D3713"/>
    <w:rsid w:val="005D3B70"/>
    <w:rsid w:val="005D3DD3"/>
    <w:rsid w:val="005D450C"/>
    <w:rsid w:val="005D4631"/>
    <w:rsid w:val="005D46EF"/>
    <w:rsid w:val="005D47C7"/>
    <w:rsid w:val="005D480E"/>
    <w:rsid w:val="005D5103"/>
    <w:rsid w:val="005D51EB"/>
    <w:rsid w:val="005D547D"/>
    <w:rsid w:val="005D551B"/>
    <w:rsid w:val="005D5ACE"/>
    <w:rsid w:val="005D5D49"/>
    <w:rsid w:val="005D5EC4"/>
    <w:rsid w:val="005D6696"/>
    <w:rsid w:val="005D6ECD"/>
    <w:rsid w:val="005D703B"/>
    <w:rsid w:val="005D7401"/>
    <w:rsid w:val="005D757F"/>
    <w:rsid w:val="005D7854"/>
    <w:rsid w:val="005D7C51"/>
    <w:rsid w:val="005D7D69"/>
    <w:rsid w:val="005D7F63"/>
    <w:rsid w:val="005E0333"/>
    <w:rsid w:val="005E0470"/>
    <w:rsid w:val="005E0515"/>
    <w:rsid w:val="005E056B"/>
    <w:rsid w:val="005E0A1C"/>
    <w:rsid w:val="005E0E2F"/>
    <w:rsid w:val="005E0E70"/>
    <w:rsid w:val="005E0EDF"/>
    <w:rsid w:val="005E1218"/>
    <w:rsid w:val="005E12B5"/>
    <w:rsid w:val="005E18A6"/>
    <w:rsid w:val="005E1C34"/>
    <w:rsid w:val="005E1F30"/>
    <w:rsid w:val="005E1FA3"/>
    <w:rsid w:val="005E226C"/>
    <w:rsid w:val="005E22F8"/>
    <w:rsid w:val="005E2675"/>
    <w:rsid w:val="005E2CBA"/>
    <w:rsid w:val="005E2CCA"/>
    <w:rsid w:val="005E2E1B"/>
    <w:rsid w:val="005E314D"/>
    <w:rsid w:val="005E332C"/>
    <w:rsid w:val="005E34AB"/>
    <w:rsid w:val="005E3506"/>
    <w:rsid w:val="005E37A2"/>
    <w:rsid w:val="005E3DA6"/>
    <w:rsid w:val="005E3E10"/>
    <w:rsid w:val="005E3F27"/>
    <w:rsid w:val="005E3FD7"/>
    <w:rsid w:val="005E407D"/>
    <w:rsid w:val="005E423E"/>
    <w:rsid w:val="005E42DE"/>
    <w:rsid w:val="005E4393"/>
    <w:rsid w:val="005E4769"/>
    <w:rsid w:val="005E480C"/>
    <w:rsid w:val="005E48E1"/>
    <w:rsid w:val="005E4C6C"/>
    <w:rsid w:val="005E5115"/>
    <w:rsid w:val="005E563C"/>
    <w:rsid w:val="005E566F"/>
    <w:rsid w:val="005E5CD0"/>
    <w:rsid w:val="005E644A"/>
    <w:rsid w:val="005E6F93"/>
    <w:rsid w:val="005E703F"/>
    <w:rsid w:val="005E7655"/>
    <w:rsid w:val="005E7BB3"/>
    <w:rsid w:val="005E7FBC"/>
    <w:rsid w:val="005F006A"/>
    <w:rsid w:val="005F0821"/>
    <w:rsid w:val="005F0D4C"/>
    <w:rsid w:val="005F0FBA"/>
    <w:rsid w:val="005F1229"/>
    <w:rsid w:val="005F13CA"/>
    <w:rsid w:val="005F1430"/>
    <w:rsid w:val="005F1454"/>
    <w:rsid w:val="005F17A2"/>
    <w:rsid w:val="005F1888"/>
    <w:rsid w:val="005F2909"/>
    <w:rsid w:val="005F2BF9"/>
    <w:rsid w:val="005F2C0D"/>
    <w:rsid w:val="005F2C31"/>
    <w:rsid w:val="005F32D0"/>
    <w:rsid w:val="005F35E9"/>
    <w:rsid w:val="005F36B3"/>
    <w:rsid w:val="005F388C"/>
    <w:rsid w:val="005F4118"/>
    <w:rsid w:val="005F4350"/>
    <w:rsid w:val="005F44EB"/>
    <w:rsid w:val="005F4DA6"/>
    <w:rsid w:val="005F5165"/>
    <w:rsid w:val="005F544D"/>
    <w:rsid w:val="005F5505"/>
    <w:rsid w:val="005F56E7"/>
    <w:rsid w:val="005F576D"/>
    <w:rsid w:val="005F591C"/>
    <w:rsid w:val="005F5E91"/>
    <w:rsid w:val="005F6476"/>
    <w:rsid w:val="005F6A1C"/>
    <w:rsid w:val="005F6B49"/>
    <w:rsid w:val="005F6BA2"/>
    <w:rsid w:val="005F6CAB"/>
    <w:rsid w:val="005F6F42"/>
    <w:rsid w:val="005F7069"/>
    <w:rsid w:val="005F710F"/>
    <w:rsid w:val="005F7482"/>
    <w:rsid w:val="006001BB"/>
    <w:rsid w:val="006003D3"/>
    <w:rsid w:val="00600804"/>
    <w:rsid w:val="00600CBA"/>
    <w:rsid w:val="00600D65"/>
    <w:rsid w:val="00600EB3"/>
    <w:rsid w:val="00601840"/>
    <w:rsid w:val="00601D76"/>
    <w:rsid w:val="00601E7A"/>
    <w:rsid w:val="00601EEB"/>
    <w:rsid w:val="006021E5"/>
    <w:rsid w:val="00602304"/>
    <w:rsid w:val="006023AE"/>
    <w:rsid w:val="00602435"/>
    <w:rsid w:val="00602533"/>
    <w:rsid w:val="006025BB"/>
    <w:rsid w:val="00602E1E"/>
    <w:rsid w:val="00602E43"/>
    <w:rsid w:val="00603718"/>
    <w:rsid w:val="00603CA3"/>
    <w:rsid w:val="00603D01"/>
    <w:rsid w:val="006040E7"/>
    <w:rsid w:val="0060411C"/>
    <w:rsid w:val="00604132"/>
    <w:rsid w:val="006048CE"/>
    <w:rsid w:val="006048D2"/>
    <w:rsid w:val="00604B34"/>
    <w:rsid w:val="00604DD6"/>
    <w:rsid w:val="00604E76"/>
    <w:rsid w:val="00604F70"/>
    <w:rsid w:val="006053EA"/>
    <w:rsid w:val="00605997"/>
    <w:rsid w:val="00605CFE"/>
    <w:rsid w:val="0060623B"/>
    <w:rsid w:val="006065D2"/>
    <w:rsid w:val="00606CD6"/>
    <w:rsid w:val="00606DFA"/>
    <w:rsid w:val="00607136"/>
    <w:rsid w:val="0060721A"/>
    <w:rsid w:val="006078DB"/>
    <w:rsid w:val="00607C18"/>
    <w:rsid w:val="00607CD9"/>
    <w:rsid w:val="00607D59"/>
    <w:rsid w:val="00607F74"/>
    <w:rsid w:val="006100E4"/>
    <w:rsid w:val="0061104B"/>
    <w:rsid w:val="00611314"/>
    <w:rsid w:val="00611B13"/>
    <w:rsid w:val="00611FFC"/>
    <w:rsid w:val="00612419"/>
    <w:rsid w:val="006127C3"/>
    <w:rsid w:val="00612B08"/>
    <w:rsid w:val="00612DF9"/>
    <w:rsid w:val="00613469"/>
    <w:rsid w:val="00613834"/>
    <w:rsid w:val="00613CEA"/>
    <w:rsid w:val="0061442A"/>
    <w:rsid w:val="00614551"/>
    <w:rsid w:val="0061478A"/>
    <w:rsid w:val="00614A93"/>
    <w:rsid w:val="00614D12"/>
    <w:rsid w:val="0061543F"/>
    <w:rsid w:val="006154B4"/>
    <w:rsid w:val="00615EAF"/>
    <w:rsid w:val="006161CB"/>
    <w:rsid w:val="006166C5"/>
    <w:rsid w:val="006168CC"/>
    <w:rsid w:val="00616B50"/>
    <w:rsid w:val="00617628"/>
    <w:rsid w:val="0061768C"/>
    <w:rsid w:val="006177BB"/>
    <w:rsid w:val="00617801"/>
    <w:rsid w:val="00620037"/>
    <w:rsid w:val="006204AE"/>
    <w:rsid w:val="006208DD"/>
    <w:rsid w:val="00620A27"/>
    <w:rsid w:val="00620B3F"/>
    <w:rsid w:val="00621313"/>
    <w:rsid w:val="00621346"/>
    <w:rsid w:val="00621F07"/>
    <w:rsid w:val="006222F9"/>
    <w:rsid w:val="00622BA8"/>
    <w:rsid w:val="0062363B"/>
    <w:rsid w:val="006236FC"/>
    <w:rsid w:val="00623DB2"/>
    <w:rsid w:val="00623F12"/>
    <w:rsid w:val="00623F5E"/>
    <w:rsid w:val="006246C0"/>
    <w:rsid w:val="006247BF"/>
    <w:rsid w:val="0062485C"/>
    <w:rsid w:val="006248F9"/>
    <w:rsid w:val="00624C80"/>
    <w:rsid w:val="00624E25"/>
    <w:rsid w:val="00624F24"/>
    <w:rsid w:val="00624FB4"/>
    <w:rsid w:val="00625558"/>
    <w:rsid w:val="00625A7A"/>
    <w:rsid w:val="00625B7D"/>
    <w:rsid w:val="00625F58"/>
    <w:rsid w:val="00625FF3"/>
    <w:rsid w:val="00626319"/>
    <w:rsid w:val="00626457"/>
    <w:rsid w:val="00626573"/>
    <w:rsid w:val="0062667E"/>
    <w:rsid w:val="00626729"/>
    <w:rsid w:val="00626846"/>
    <w:rsid w:val="006269AD"/>
    <w:rsid w:val="00627124"/>
    <w:rsid w:val="006273AC"/>
    <w:rsid w:val="00627617"/>
    <w:rsid w:val="006278AE"/>
    <w:rsid w:val="00627CCF"/>
    <w:rsid w:val="00630269"/>
    <w:rsid w:val="00630AB6"/>
    <w:rsid w:val="00631270"/>
    <w:rsid w:val="006314CD"/>
    <w:rsid w:val="006315FB"/>
    <w:rsid w:val="006318A9"/>
    <w:rsid w:val="00631B36"/>
    <w:rsid w:val="0063217C"/>
    <w:rsid w:val="0063268A"/>
    <w:rsid w:val="006327C8"/>
    <w:rsid w:val="00632917"/>
    <w:rsid w:val="00632B57"/>
    <w:rsid w:val="00632FA2"/>
    <w:rsid w:val="006332D7"/>
    <w:rsid w:val="0063340F"/>
    <w:rsid w:val="00633996"/>
    <w:rsid w:val="00633A44"/>
    <w:rsid w:val="006346CC"/>
    <w:rsid w:val="00634919"/>
    <w:rsid w:val="00634A39"/>
    <w:rsid w:val="00634BEC"/>
    <w:rsid w:val="00634EBD"/>
    <w:rsid w:val="00635436"/>
    <w:rsid w:val="006358C6"/>
    <w:rsid w:val="00635B1F"/>
    <w:rsid w:val="006363B1"/>
    <w:rsid w:val="00636FA6"/>
    <w:rsid w:val="00636FCE"/>
    <w:rsid w:val="00637D2B"/>
    <w:rsid w:val="00640161"/>
    <w:rsid w:val="00640317"/>
    <w:rsid w:val="00640B8B"/>
    <w:rsid w:val="00640F6B"/>
    <w:rsid w:val="00640FA1"/>
    <w:rsid w:val="00640FE9"/>
    <w:rsid w:val="00641047"/>
    <w:rsid w:val="00641343"/>
    <w:rsid w:val="0064140A"/>
    <w:rsid w:val="0064183D"/>
    <w:rsid w:val="00641842"/>
    <w:rsid w:val="00641F7E"/>
    <w:rsid w:val="0064222A"/>
    <w:rsid w:val="006422D3"/>
    <w:rsid w:val="006423A0"/>
    <w:rsid w:val="006426A0"/>
    <w:rsid w:val="00642741"/>
    <w:rsid w:val="00642DE1"/>
    <w:rsid w:val="00642F51"/>
    <w:rsid w:val="006435DA"/>
    <w:rsid w:val="00643AAB"/>
    <w:rsid w:val="00643C9B"/>
    <w:rsid w:val="006442BE"/>
    <w:rsid w:val="00644397"/>
    <w:rsid w:val="006447FA"/>
    <w:rsid w:val="00644E99"/>
    <w:rsid w:val="00644F7A"/>
    <w:rsid w:val="00645093"/>
    <w:rsid w:val="006454D9"/>
    <w:rsid w:val="00645867"/>
    <w:rsid w:val="00645E7F"/>
    <w:rsid w:val="00645E95"/>
    <w:rsid w:val="006468B3"/>
    <w:rsid w:val="00646A6D"/>
    <w:rsid w:val="00646DD1"/>
    <w:rsid w:val="00646E9E"/>
    <w:rsid w:val="00646ED1"/>
    <w:rsid w:val="0064734C"/>
    <w:rsid w:val="00647492"/>
    <w:rsid w:val="006474DA"/>
    <w:rsid w:val="006479CD"/>
    <w:rsid w:val="00647AE8"/>
    <w:rsid w:val="00647C4E"/>
    <w:rsid w:val="00647DB4"/>
    <w:rsid w:val="00647DEC"/>
    <w:rsid w:val="00647F25"/>
    <w:rsid w:val="0065012E"/>
    <w:rsid w:val="00650383"/>
    <w:rsid w:val="0065043D"/>
    <w:rsid w:val="00650B35"/>
    <w:rsid w:val="00650C1C"/>
    <w:rsid w:val="00650CF9"/>
    <w:rsid w:val="00650DA6"/>
    <w:rsid w:val="00651439"/>
    <w:rsid w:val="006514DA"/>
    <w:rsid w:val="0065157A"/>
    <w:rsid w:val="00651899"/>
    <w:rsid w:val="00651916"/>
    <w:rsid w:val="00651D4D"/>
    <w:rsid w:val="00651D71"/>
    <w:rsid w:val="00651DD2"/>
    <w:rsid w:val="00652302"/>
    <w:rsid w:val="006525CA"/>
    <w:rsid w:val="0065284F"/>
    <w:rsid w:val="006528B4"/>
    <w:rsid w:val="00652A07"/>
    <w:rsid w:val="00652E92"/>
    <w:rsid w:val="006533CA"/>
    <w:rsid w:val="00653922"/>
    <w:rsid w:val="00653927"/>
    <w:rsid w:val="00653B97"/>
    <w:rsid w:val="00653E4F"/>
    <w:rsid w:val="00654104"/>
    <w:rsid w:val="00654151"/>
    <w:rsid w:val="00654828"/>
    <w:rsid w:val="00654978"/>
    <w:rsid w:val="0065498F"/>
    <w:rsid w:val="00654E14"/>
    <w:rsid w:val="00654EA1"/>
    <w:rsid w:val="00654EBE"/>
    <w:rsid w:val="00654ED5"/>
    <w:rsid w:val="00654FDC"/>
    <w:rsid w:val="00655356"/>
    <w:rsid w:val="00655726"/>
    <w:rsid w:val="00655879"/>
    <w:rsid w:val="00655CB8"/>
    <w:rsid w:val="00656132"/>
    <w:rsid w:val="00656E4C"/>
    <w:rsid w:val="006574F7"/>
    <w:rsid w:val="006575BD"/>
    <w:rsid w:val="00657BE1"/>
    <w:rsid w:val="00657C4F"/>
    <w:rsid w:val="00657DF6"/>
    <w:rsid w:val="006600C2"/>
    <w:rsid w:val="0066031F"/>
    <w:rsid w:val="00660694"/>
    <w:rsid w:val="00660F22"/>
    <w:rsid w:val="0066113D"/>
    <w:rsid w:val="00661598"/>
    <w:rsid w:val="0066162E"/>
    <w:rsid w:val="006617A3"/>
    <w:rsid w:val="00661910"/>
    <w:rsid w:val="00661BBF"/>
    <w:rsid w:val="00661BD4"/>
    <w:rsid w:val="006620CD"/>
    <w:rsid w:val="006621B7"/>
    <w:rsid w:val="0066259B"/>
    <w:rsid w:val="006626D3"/>
    <w:rsid w:val="0066281C"/>
    <w:rsid w:val="00662A52"/>
    <w:rsid w:val="00662AFE"/>
    <w:rsid w:val="006630F8"/>
    <w:rsid w:val="0066337D"/>
    <w:rsid w:val="0066353D"/>
    <w:rsid w:val="006637CE"/>
    <w:rsid w:val="00663C42"/>
    <w:rsid w:val="00663CA9"/>
    <w:rsid w:val="00663FC5"/>
    <w:rsid w:val="0066445D"/>
    <w:rsid w:val="00664538"/>
    <w:rsid w:val="006649E0"/>
    <w:rsid w:val="00664A9D"/>
    <w:rsid w:val="00664BDB"/>
    <w:rsid w:val="00664CF8"/>
    <w:rsid w:val="00664EAD"/>
    <w:rsid w:val="00665292"/>
    <w:rsid w:val="006654A3"/>
    <w:rsid w:val="00665719"/>
    <w:rsid w:val="00665B01"/>
    <w:rsid w:val="00665EE8"/>
    <w:rsid w:val="0066684B"/>
    <w:rsid w:val="00666B55"/>
    <w:rsid w:val="00666BE4"/>
    <w:rsid w:val="00666F1A"/>
    <w:rsid w:val="006670D1"/>
    <w:rsid w:val="00667185"/>
    <w:rsid w:val="0066730C"/>
    <w:rsid w:val="00667484"/>
    <w:rsid w:val="006674B2"/>
    <w:rsid w:val="0066750A"/>
    <w:rsid w:val="00667E7D"/>
    <w:rsid w:val="00670274"/>
    <w:rsid w:val="006702EF"/>
    <w:rsid w:val="006707C7"/>
    <w:rsid w:val="0067081F"/>
    <w:rsid w:val="006708A9"/>
    <w:rsid w:val="00670B8D"/>
    <w:rsid w:val="00670CA4"/>
    <w:rsid w:val="006717ED"/>
    <w:rsid w:val="006718D5"/>
    <w:rsid w:val="00671AC7"/>
    <w:rsid w:val="00671CCC"/>
    <w:rsid w:val="00671CD4"/>
    <w:rsid w:val="00671E52"/>
    <w:rsid w:val="0067270A"/>
    <w:rsid w:val="0067287D"/>
    <w:rsid w:val="006729A7"/>
    <w:rsid w:val="00673A63"/>
    <w:rsid w:val="00673D85"/>
    <w:rsid w:val="0067420C"/>
    <w:rsid w:val="00674AE3"/>
    <w:rsid w:val="00674DAE"/>
    <w:rsid w:val="00674EE6"/>
    <w:rsid w:val="00675269"/>
    <w:rsid w:val="0067572A"/>
    <w:rsid w:val="00675849"/>
    <w:rsid w:val="006758E9"/>
    <w:rsid w:val="00675B49"/>
    <w:rsid w:val="0067602C"/>
    <w:rsid w:val="00676952"/>
    <w:rsid w:val="00676B94"/>
    <w:rsid w:val="00676E66"/>
    <w:rsid w:val="00676EA1"/>
    <w:rsid w:val="00676F99"/>
    <w:rsid w:val="0067748B"/>
    <w:rsid w:val="006775C8"/>
    <w:rsid w:val="006779DC"/>
    <w:rsid w:val="006800EE"/>
    <w:rsid w:val="00680160"/>
    <w:rsid w:val="0068077C"/>
    <w:rsid w:val="006807C9"/>
    <w:rsid w:val="00680A84"/>
    <w:rsid w:val="00680AB3"/>
    <w:rsid w:val="00680B41"/>
    <w:rsid w:val="00680D1B"/>
    <w:rsid w:val="00680ECC"/>
    <w:rsid w:val="00680F6C"/>
    <w:rsid w:val="006811E7"/>
    <w:rsid w:val="006813DD"/>
    <w:rsid w:val="00681500"/>
    <w:rsid w:val="00681928"/>
    <w:rsid w:val="00681D6D"/>
    <w:rsid w:val="00682483"/>
    <w:rsid w:val="00682667"/>
    <w:rsid w:val="0068270E"/>
    <w:rsid w:val="00682924"/>
    <w:rsid w:val="00683684"/>
    <w:rsid w:val="0068384C"/>
    <w:rsid w:val="00683D2A"/>
    <w:rsid w:val="00683DB9"/>
    <w:rsid w:val="00683E6D"/>
    <w:rsid w:val="00683F11"/>
    <w:rsid w:val="00683FDE"/>
    <w:rsid w:val="00684191"/>
    <w:rsid w:val="006841CF"/>
    <w:rsid w:val="0068420C"/>
    <w:rsid w:val="006845F0"/>
    <w:rsid w:val="00684B3B"/>
    <w:rsid w:val="00684DC0"/>
    <w:rsid w:val="00684EEA"/>
    <w:rsid w:val="00685251"/>
    <w:rsid w:val="006854C2"/>
    <w:rsid w:val="00685CD5"/>
    <w:rsid w:val="00685F1D"/>
    <w:rsid w:val="006860F8"/>
    <w:rsid w:val="006863D0"/>
    <w:rsid w:val="00686701"/>
    <w:rsid w:val="006867A9"/>
    <w:rsid w:val="006867E9"/>
    <w:rsid w:val="00686823"/>
    <w:rsid w:val="006868AD"/>
    <w:rsid w:val="00686FB5"/>
    <w:rsid w:val="00687050"/>
    <w:rsid w:val="006872C1"/>
    <w:rsid w:val="0068731A"/>
    <w:rsid w:val="00690C21"/>
    <w:rsid w:val="00691350"/>
    <w:rsid w:val="00691912"/>
    <w:rsid w:val="00691EB5"/>
    <w:rsid w:val="00691F3D"/>
    <w:rsid w:val="006920CD"/>
    <w:rsid w:val="0069227A"/>
    <w:rsid w:val="00692308"/>
    <w:rsid w:val="00692355"/>
    <w:rsid w:val="00692688"/>
    <w:rsid w:val="006930A3"/>
    <w:rsid w:val="0069312D"/>
    <w:rsid w:val="0069315F"/>
    <w:rsid w:val="00693213"/>
    <w:rsid w:val="00693F3D"/>
    <w:rsid w:val="00693F88"/>
    <w:rsid w:val="00694339"/>
    <w:rsid w:val="0069457A"/>
    <w:rsid w:val="006945A0"/>
    <w:rsid w:val="00694CAD"/>
    <w:rsid w:val="00694CCD"/>
    <w:rsid w:val="00694F72"/>
    <w:rsid w:val="00694FB9"/>
    <w:rsid w:val="00696793"/>
    <w:rsid w:val="0069696E"/>
    <w:rsid w:val="00697019"/>
    <w:rsid w:val="006973E2"/>
    <w:rsid w:val="006977FC"/>
    <w:rsid w:val="00697A85"/>
    <w:rsid w:val="00697E57"/>
    <w:rsid w:val="006A01C7"/>
    <w:rsid w:val="006A0214"/>
    <w:rsid w:val="006A06E8"/>
    <w:rsid w:val="006A0747"/>
    <w:rsid w:val="006A0759"/>
    <w:rsid w:val="006A08D9"/>
    <w:rsid w:val="006A0B8E"/>
    <w:rsid w:val="006A0DF3"/>
    <w:rsid w:val="006A0EDB"/>
    <w:rsid w:val="006A14CF"/>
    <w:rsid w:val="006A2015"/>
    <w:rsid w:val="006A258A"/>
    <w:rsid w:val="006A2909"/>
    <w:rsid w:val="006A29BA"/>
    <w:rsid w:val="006A3A08"/>
    <w:rsid w:val="006A3CC5"/>
    <w:rsid w:val="006A3E2E"/>
    <w:rsid w:val="006A3FBB"/>
    <w:rsid w:val="006A4347"/>
    <w:rsid w:val="006A470C"/>
    <w:rsid w:val="006A474E"/>
    <w:rsid w:val="006A4755"/>
    <w:rsid w:val="006A47E0"/>
    <w:rsid w:val="006A4898"/>
    <w:rsid w:val="006A4A13"/>
    <w:rsid w:val="006A4B5B"/>
    <w:rsid w:val="006A4CAD"/>
    <w:rsid w:val="006A507B"/>
    <w:rsid w:val="006A544F"/>
    <w:rsid w:val="006A564A"/>
    <w:rsid w:val="006A59B7"/>
    <w:rsid w:val="006A5AFD"/>
    <w:rsid w:val="006A5BC0"/>
    <w:rsid w:val="006A5E49"/>
    <w:rsid w:val="006A5FCF"/>
    <w:rsid w:val="006A6158"/>
    <w:rsid w:val="006A6739"/>
    <w:rsid w:val="006A6C93"/>
    <w:rsid w:val="006A758D"/>
    <w:rsid w:val="006A75B0"/>
    <w:rsid w:val="006A778D"/>
    <w:rsid w:val="006B0101"/>
    <w:rsid w:val="006B0614"/>
    <w:rsid w:val="006B07F2"/>
    <w:rsid w:val="006B0C6D"/>
    <w:rsid w:val="006B0D98"/>
    <w:rsid w:val="006B0FDA"/>
    <w:rsid w:val="006B10EE"/>
    <w:rsid w:val="006B130B"/>
    <w:rsid w:val="006B17BB"/>
    <w:rsid w:val="006B193B"/>
    <w:rsid w:val="006B1AA1"/>
    <w:rsid w:val="006B1D09"/>
    <w:rsid w:val="006B24BF"/>
    <w:rsid w:val="006B2668"/>
    <w:rsid w:val="006B2693"/>
    <w:rsid w:val="006B2805"/>
    <w:rsid w:val="006B29EA"/>
    <w:rsid w:val="006B2D24"/>
    <w:rsid w:val="006B2EB8"/>
    <w:rsid w:val="006B2F49"/>
    <w:rsid w:val="006B410F"/>
    <w:rsid w:val="006B4B8F"/>
    <w:rsid w:val="006B544D"/>
    <w:rsid w:val="006B568A"/>
    <w:rsid w:val="006B5A2E"/>
    <w:rsid w:val="006B5B1F"/>
    <w:rsid w:val="006B616F"/>
    <w:rsid w:val="006B6457"/>
    <w:rsid w:val="006B6971"/>
    <w:rsid w:val="006B6A6D"/>
    <w:rsid w:val="006B7541"/>
    <w:rsid w:val="006B77D9"/>
    <w:rsid w:val="006B7CA9"/>
    <w:rsid w:val="006C0297"/>
    <w:rsid w:val="006C09A0"/>
    <w:rsid w:val="006C10A1"/>
    <w:rsid w:val="006C14A3"/>
    <w:rsid w:val="006C166D"/>
    <w:rsid w:val="006C18AA"/>
    <w:rsid w:val="006C1C71"/>
    <w:rsid w:val="006C1CA8"/>
    <w:rsid w:val="006C21C2"/>
    <w:rsid w:val="006C23A6"/>
    <w:rsid w:val="006C24A7"/>
    <w:rsid w:val="006C2D4E"/>
    <w:rsid w:val="006C2FE0"/>
    <w:rsid w:val="006C318E"/>
    <w:rsid w:val="006C351B"/>
    <w:rsid w:val="006C3B56"/>
    <w:rsid w:val="006C3D73"/>
    <w:rsid w:val="006C3DF1"/>
    <w:rsid w:val="006C3FF7"/>
    <w:rsid w:val="006C4369"/>
    <w:rsid w:val="006C44D5"/>
    <w:rsid w:val="006C453E"/>
    <w:rsid w:val="006C4DE5"/>
    <w:rsid w:val="006C4EF4"/>
    <w:rsid w:val="006C4F77"/>
    <w:rsid w:val="006C51DB"/>
    <w:rsid w:val="006C56B9"/>
    <w:rsid w:val="006C589D"/>
    <w:rsid w:val="006C5958"/>
    <w:rsid w:val="006C5F3B"/>
    <w:rsid w:val="006C6783"/>
    <w:rsid w:val="006C6828"/>
    <w:rsid w:val="006C69FD"/>
    <w:rsid w:val="006C6E76"/>
    <w:rsid w:val="006C7383"/>
    <w:rsid w:val="006C7EB6"/>
    <w:rsid w:val="006D0016"/>
    <w:rsid w:val="006D0354"/>
    <w:rsid w:val="006D03DC"/>
    <w:rsid w:val="006D061D"/>
    <w:rsid w:val="006D06DD"/>
    <w:rsid w:val="006D073A"/>
    <w:rsid w:val="006D07C5"/>
    <w:rsid w:val="006D09EE"/>
    <w:rsid w:val="006D0A42"/>
    <w:rsid w:val="006D103C"/>
    <w:rsid w:val="006D10A9"/>
    <w:rsid w:val="006D1145"/>
    <w:rsid w:val="006D1369"/>
    <w:rsid w:val="006D1510"/>
    <w:rsid w:val="006D17CC"/>
    <w:rsid w:val="006D1A95"/>
    <w:rsid w:val="006D1B00"/>
    <w:rsid w:val="006D1CF4"/>
    <w:rsid w:val="006D2203"/>
    <w:rsid w:val="006D282F"/>
    <w:rsid w:val="006D2EB3"/>
    <w:rsid w:val="006D342B"/>
    <w:rsid w:val="006D37E2"/>
    <w:rsid w:val="006D3A57"/>
    <w:rsid w:val="006D3E64"/>
    <w:rsid w:val="006D4502"/>
    <w:rsid w:val="006D473D"/>
    <w:rsid w:val="006D4753"/>
    <w:rsid w:val="006D485E"/>
    <w:rsid w:val="006D4C6F"/>
    <w:rsid w:val="006D4CA5"/>
    <w:rsid w:val="006D573E"/>
    <w:rsid w:val="006D59DD"/>
    <w:rsid w:val="006D5C25"/>
    <w:rsid w:val="006D5DDE"/>
    <w:rsid w:val="006D5F04"/>
    <w:rsid w:val="006D5F36"/>
    <w:rsid w:val="006D5F78"/>
    <w:rsid w:val="006D60DA"/>
    <w:rsid w:val="006D7099"/>
    <w:rsid w:val="006D7175"/>
    <w:rsid w:val="006D7575"/>
    <w:rsid w:val="006D7A44"/>
    <w:rsid w:val="006D7B11"/>
    <w:rsid w:val="006E0527"/>
    <w:rsid w:val="006E0567"/>
    <w:rsid w:val="006E06EC"/>
    <w:rsid w:val="006E0D2C"/>
    <w:rsid w:val="006E109A"/>
    <w:rsid w:val="006E10FA"/>
    <w:rsid w:val="006E1434"/>
    <w:rsid w:val="006E1485"/>
    <w:rsid w:val="006E17DE"/>
    <w:rsid w:val="006E1B30"/>
    <w:rsid w:val="006E1C16"/>
    <w:rsid w:val="006E1CC4"/>
    <w:rsid w:val="006E1D17"/>
    <w:rsid w:val="006E1F93"/>
    <w:rsid w:val="006E2218"/>
    <w:rsid w:val="006E263D"/>
    <w:rsid w:val="006E2AB9"/>
    <w:rsid w:val="006E2F21"/>
    <w:rsid w:val="006E40AF"/>
    <w:rsid w:val="006E42CD"/>
    <w:rsid w:val="006E4623"/>
    <w:rsid w:val="006E508F"/>
    <w:rsid w:val="006E5662"/>
    <w:rsid w:val="006E577F"/>
    <w:rsid w:val="006E57BC"/>
    <w:rsid w:val="006E5F00"/>
    <w:rsid w:val="006E6317"/>
    <w:rsid w:val="006E64CB"/>
    <w:rsid w:val="006E66D0"/>
    <w:rsid w:val="006E6888"/>
    <w:rsid w:val="006E6FB6"/>
    <w:rsid w:val="006E70AD"/>
    <w:rsid w:val="006E75D2"/>
    <w:rsid w:val="006E7BF9"/>
    <w:rsid w:val="006E7DD4"/>
    <w:rsid w:val="006E7E8C"/>
    <w:rsid w:val="006E7EA5"/>
    <w:rsid w:val="006E7FDB"/>
    <w:rsid w:val="006F0000"/>
    <w:rsid w:val="006F0717"/>
    <w:rsid w:val="006F0784"/>
    <w:rsid w:val="006F0790"/>
    <w:rsid w:val="006F0B32"/>
    <w:rsid w:val="006F0C5F"/>
    <w:rsid w:val="006F0EEA"/>
    <w:rsid w:val="006F154E"/>
    <w:rsid w:val="006F155A"/>
    <w:rsid w:val="006F1569"/>
    <w:rsid w:val="006F17EF"/>
    <w:rsid w:val="006F1849"/>
    <w:rsid w:val="006F1CAA"/>
    <w:rsid w:val="006F1E7A"/>
    <w:rsid w:val="006F2242"/>
    <w:rsid w:val="006F2F55"/>
    <w:rsid w:val="006F3B76"/>
    <w:rsid w:val="006F3E36"/>
    <w:rsid w:val="006F4743"/>
    <w:rsid w:val="006F4868"/>
    <w:rsid w:val="006F4C0C"/>
    <w:rsid w:val="006F50DA"/>
    <w:rsid w:val="006F5405"/>
    <w:rsid w:val="006F5C9A"/>
    <w:rsid w:val="006F5E97"/>
    <w:rsid w:val="006F5FF3"/>
    <w:rsid w:val="006F6718"/>
    <w:rsid w:val="006F6B4B"/>
    <w:rsid w:val="006F6BDD"/>
    <w:rsid w:val="006F6D43"/>
    <w:rsid w:val="006F70E7"/>
    <w:rsid w:val="006F7295"/>
    <w:rsid w:val="006F72A2"/>
    <w:rsid w:val="006F74E7"/>
    <w:rsid w:val="006F7641"/>
    <w:rsid w:val="006F7689"/>
    <w:rsid w:val="006F7887"/>
    <w:rsid w:val="00700248"/>
    <w:rsid w:val="0070030F"/>
    <w:rsid w:val="007009F3"/>
    <w:rsid w:val="00700AE7"/>
    <w:rsid w:val="00700BB5"/>
    <w:rsid w:val="00700EC6"/>
    <w:rsid w:val="0070119C"/>
    <w:rsid w:val="00701318"/>
    <w:rsid w:val="00701586"/>
    <w:rsid w:val="00701F52"/>
    <w:rsid w:val="007024B9"/>
    <w:rsid w:val="007025B9"/>
    <w:rsid w:val="00702B18"/>
    <w:rsid w:val="0070336E"/>
    <w:rsid w:val="00703A9E"/>
    <w:rsid w:val="00703D86"/>
    <w:rsid w:val="007040B4"/>
    <w:rsid w:val="00704532"/>
    <w:rsid w:val="00704550"/>
    <w:rsid w:val="00704684"/>
    <w:rsid w:val="007046BD"/>
    <w:rsid w:val="00705096"/>
    <w:rsid w:val="0070526C"/>
    <w:rsid w:val="00705291"/>
    <w:rsid w:val="007054B8"/>
    <w:rsid w:val="0070561F"/>
    <w:rsid w:val="007057DA"/>
    <w:rsid w:val="007059E7"/>
    <w:rsid w:val="0070656B"/>
    <w:rsid w:val="00706965"/>
    <w:rsid w:val="00706CF6"/>
    <w:rsid w:val="00706FA7"/>
    <w:rsid w:val="00706FA8"/>
    <w:rsid w:val="0070731A"/>
    <w:rsid w:val="00707490"/>
    <w:rsid w:val="0070751E"/>
    <w:rsid w:val="00710502"/>
    <w:rsid w:val="00710983"/>
    <w:rsid w:val="00710DBA"/>
    <w:rsid w:val="0071179E"/>
    <w:rsid w:val="0071231E"/>
    <w:rsid w:val="00712332"/>
    <w:rsid w:val="00712431"/>
    <w:rsid w:val="00712462"/>
    <w:rsid w:val="00712AB8"/>
    <w:rsid w:val="00713272"/>
    <w:rsid w:val="0071375A"/>
    <w:rsid w:val="00713B2A"/>
    <w:rsid w:val="00713EA0"/>
    <w:rsid w:val="00713F10"/>
    <w:rsid w:val="00714614"/>
    <w:rsid w:val="00715924"/>
    <w:rsid w:val="00715EF6"/>
    <w:rsid w:val="007162AB"/>
    <w:rsid w:val="007162D3"/>
    <w:rsid w:val="00716424"/>
    <w:rsid w:val="0071647A"/>
    <w:rsid w:val="00716696"/>
    <w:rsid w:val="007170DF"/>
    <w:rsid w:val="00717298"/>
    <w:rsid w:val="00717733"/>
    <w:rsid w:val="0071777E"/>
    <w:rsid w:val="00717982"/>
    <w:rsid w:val="00717FD2"/>
    <w:rsid w:val="007208EA"/>
    <w:rsid w:val="00720A73"/>
    <w:rsid w:val="00720D66"/>
    <w:rsid w:val="00721816"/>
    <w:rsid w:val="00721EB4"/>
    <w:rsid w:val="007222DD"/>
    <w:rsid w:val="007225E8"/>
    <w:rsid w:val="007226BF"/>
    <w:rsid w:val="0072272D"/>
    <w:rsid w:val="00722BF1"/>
    <w:rsid w:val="00722E11"/>
    <w:rsid w:val="007234CE"/>
    <w:rsid w:val="00723876"/>
    <w:rsid w:val="00723B05"/>
    <w:rsid w:val="00723E2C"/>
    <w:rsid w:val="00724070"/>
    <w:rsid w:val="00724410"/>
    <w:rsid w:val="007244EA"/>
    <w:rsid w:val="0072450D"/>
    <w:rsid w:val="00724567"/>
    <w:rsid w:val="00724A4A"/>
    <w:rsid w:val="00724CED"/>
    <w:rsid w:val="00724F44"/>
    <w:rsid w:val="00724F8D"/>
    <w:rsid w:val="00725080"/>
    <w:rsid w:val="0072519F"/>
    <w:rsid w:val="007251B8"/>
    <w:rsid w:val="0072552F"/>
    <w:rsid w:val="00725AF9"/>
    <w:rsid w:val="00725BDC"/>
    <w:rsid w:val="00726512"/>
    <w:rsid w:val="00726805"/>
    <w:rsid w:val="00726C08"/>
    <w:rsid w:val="00726FA8"/>
    <w:rsid w:val="0073011A"/>
    <w:rsid w:val="0073012D"/>
    <w:rsid w:val="00730183"/>
    <w:rsid w:val="0073105A"/>
    <w:rsid w:val="0073120C"/>
    <w:rsid w:val="00731726"/>
    <w:rsid w:val="00731978"/>
    <w:rsid w:val="00731D00"/>
    <w:rsid w:val="00732612"/>
    <w:rsid w:val="0073265E"/>
    <w:rsid w:val="00732CB8"/>
    <w:rsid w:val="0073329D"/>
    <w:rsid w:val="0073374D"/>
    <w:rsid w:val="00733A75"/>
    <w:rsid w:val="00733FAD"/>
    <w:rsid w:val="0073435D"/>
    <w:rsid w:val="007345AC"/>
    <w:rsid w:val="00734A50"/>
    <w:rsid w:val="00734C9B"/>
    <w:rsid w:val="00734F3C"/>
    <w:rsid w:val="00735029"/>
    <w:rsid w:val="007353A8"/>
    <w:rsid w:val="007354B1"/>
    <w:rsid w:val="007354E0"/>
    <w:rsid w:val="00735EBA"/>
    <w:rsid w:val="007360B6"/>
    <w:rsid w:val="0073628F"/>
    <w:rsid w:val="00736DC2"/>
    <w:rsid w:val="00736FC3"/>
    <w:rsid w:val="0073724A"/>
    <w:rsid w:val="00737426"/>
    <w:rsid w:val="00737658"/>
    <w:rsid w:val="00737D35"/>
    <w:rsid w:val="007405B3"/>
    <w:rsid w:val="007411CF"/>
    <w:rsid w:val="00741700"/>
    <w:rsid w:val="007418AB"/>
    <w:rsid w:val="007418F4"/>
    <w:rsid w:val="00741C9B"/>
    <w:rsid w:val="00742412"/>
    <w:rsid w:val="0074281A"/>
    <w:rsid w:val="00742851"/>
    <w:rsid w:val="00742A1D"/>
    <w:rsid w:val="00742B0D"/>
    <w:rsid w:val="00742B4A"/>
    <w:rsid w:val="00743439"/>
    <w:rsid w:val="0074355F"/>
    <w:rsid w:val="0074381C"/>
    <w:rsid w:val="00743F04"/>
    <w:rsid w:val="00743F12"/>
    <w:rsid w:val="007444E8"/>
    <w:rsid w:val="0074477D"/>
    <w:rsid w:val="00744CA4"/>
    <w:rsid w:val="00744E11"/>
    <w:rsid w:val="007451EA"/>
    <w:rsid w:val="007456DC"/>
    <w:rsid w:val="00745A50"/>
    <w:rsid w:val="00745CE7"/>
    <w:rsid w:val="0074654F"/>
    <w:rsid w:val="00746E56"/>
    <w:rsid w:val="00747145"/>
    <w:rsid w:val="007474CB"/>
    <w:rsid w:val="00747A20"/>
    <w:rsid w:val="00747A3B"/>
    <w:rsid w:val="00747A67"/>
    <w:rsid w:val="00747E30"/>
    <w:rsid w:val="00750580"/>
    <w:rsid w:val="0075084C"/>
    <w:rsid w:val="00750A2A"/>
    <w:rsid w:val="0075120A"/>
    <w:rsid w:val="007515D8"/>
    <w:rsid w:val="007515F4"/>
    <w:rsid w:val="00751B84"/>
    <w:rsid w:val="00751B8A"/>
    <w:rsid w:val="00751D99"/>
    <w:rsid w:val="00751F49"/>
    <w:rsid w:val="0075247F"/>
    <w:rsid w:val="007529C9"/>
    <w:rsid w:val="007538C3"/>
    <w:rsid w:val="007539A3"/>
    <w:rsid w:val="00753E25"/>
    <w:rsid w:val="0075478F"/>
    <w:rsid w:val="00754E20"/>
    <w:rsid w:val="007551A0"/>
    <w:rsid w:val="007551D4"/>
    <w:rsid w:val="0075547C"/>
    <w:rsid w:val="00755739"/>
    <w:rsid w:val="00755867"/>
    <w:rsid w:val="007563DA"/>
    <w:rsid w:val="007563FD"/>
    <w:rsid w:val="0075657C"/>
    <w:rsid w:val="007565F0"/>
    <w:rsid w:val="0075664E"/>
    <w:rsid w:val="0075669F"/>
    <w:rsid w:val="00756757"/>
    <w:rsid w:val="007567DB"/>
    <w:rsid w:val="00756B6B"/>
    <w:rsid w:val="00757382"/>
    <w:rsid w:val="007573D2"/>
    <w:rsid w:val="00757D74"/>
    <w:rsid w:val="007609CC"/>
    <w:rsid w:val="007609D8"/>
    <w:rsid w:val="007615D1"/>
    <w:rsid w:val="007615D2"/>
    <w:rsid w:val="0076176C"/>
    <w:rsid w:val="0076235E"/>
    <w:rsid w:val="007623C6"/>
    <w:rsid w:val="0076260F"/>
    <w:rsid w:val="0076271A"/>
    <w:rsid w:val="00762D9B"/>
    <w:rsid w:val="00763219"/>
    <w:rsid w:val="007633CD"/>
    <w:rsid w:val="0076358E"/>
    <w:rsid w:val="007639C7"/>
    <w:rsid w:val="00763CA5"/>
    <w:rsid w:val="00763E7E"/>
    <w:rsid w:val="00764161"/>
    <w:rsid w:val="0076468C"/>
    <w:rsid w:val="007647AB"/>
    <w:rsid w:val="007648FF"/>
    <w:rsid w:val="00765083"/>
    <w:rsid w:val="00765411"/>
    <w:rsid w:val="007658E4"/>
    <w:rsid w:val="007662DA"/>
    <w:rsid w:val="00766B75"/>
    <w:rsid w:val="007673A9"/>
    <w:rsid w:val="00767E22"/>
    <w:rsid w:val="007702A7"/>
    <w:rsid w:val="007703DC"/>
    <w:rsid w:val="0077084D"/>
    <w:rsid w:val="00770F4E"/>
    <w:rsid w:val="007717A8"/>
    <w:rsid w:val="00771D61"/>
    <w:rsid w:val="00772198"/>
    <w:rsid w:val="0077224C"/>
    <w:rsid w:val="0077239E"/>
    <w:rsid w:val="0077278F"/>
    <w:rsid w:val="00772E7A"/>
    <w:rsid w:val="00773432"/>
    <w:rsid w:val="00773887"/>
    <w:rsid w:val="00773C89"/>
    <w:rsid w:val="007743AE"/>
    <w:rsid w:val="00774482"/>
    <w:rsid w:val="00774A29"/>
    <w:rsid w:val="00774AD9"/>
    <w:rsid w:val="0077539A"/>
    <w:rsid w:val="00775518"/>
    <w:rsid w:val="0077577C"/>
    <w:rsid w:val="007758EA"/>
    <w:rsid w:val="00775AC6"/>
    <w:rsid w:val="00775F20"/>
    <w:rsid w:val="007761E5"/>
    <w:rsid w:val="00776496"/>
    <w:rsid w:val="00776C54"/>
    <w:rsid w:val="00776D8E"/>
    <w:rsid w:val="00776E4E"/>
    <w:rsid w:val="00776ED2"/>
    <w:rsid w:val="00777395"/>
    <w:rsid w:val="007774E9"/>
    <w:rsid w:val="0077754D"/>
    <w:rsid w:val="007775D5"/>
    <w:rsid w:val="00777EC3"/>
    <w:rsid w:val="0078002E"/>
    <w:rsid w:val="00780D4E"/>
    <w:rsid w:val="00780D9F"/>
    <w:rsid w:val="00780F08"/>
    <w:rsid w:val="007816AE"/>
    <w:rsid w:val="007816BA"/>
    <w:rsid w:val="00781815"/>
    <w:rsid w:val="0078281D"/>
    <w:rsid w:val="007828D4"/>
    <w:rsid w:val="00782D67"/>
    <w:rsid w:val="007837D7"/>
    <w:rsid w:val="00783BA7"/>
    <w:rsid w:val="00783CA9"/>
    <w:rsid w:val="00783FDE"/>
    <w:rsid w:val="00784063"/>
    <w:rsid w:val="00784947"/>
    <w:rsid w:val="00784A12"/>
    <w:rsid w:val="00784BE2"/>
    <w:rsid w:val="00784C63"/>
    <w:rsid w:val="00784D15"/>
    <w:rsid w:val="00784DFD"/>
    <w:rsid w:val="00784FA4"/>
    <w:rsid w:val="00785289"/>
    <w:rsid w:val="0078534B"/>
    <w:rsid w:val="007855D1"/>
    <w:rsid w:val="00785DFB"/>
    <w:rsid w:val="00785E71"/>
    <w:rsid w:val="00785EE2"/>
    <w:rsid w:val="007860C2"/>
    <w:rsid w:val="0078655F"/>
    <w:rsid w:val="00786770"/>
    <w:rsid w:val="00786B1E"/>
    <w:rsid w:val="00787162"/>
    <w:rsid w:val="00787196"/>
    <w:rsid w:val="0078723C"/>
    <w:rsid w:val="0078735F"/>
    <w:rsid w:val="00787BB0"/>
    <w:rsid w:val="007900A9"/>
    <w:rsid w:val="007900CF"/>
    <w:rsid w:val="007909A8"/>
    <w:rsid w:val="00790AA2"/>
    <w:rsid w:val="00790CA8"/>
    <w:rsid w:val="00790D4B"/>
    <w:rsid w:val="00791A0F"/>
    <w:rsid w:val="00791EBD"/>
    <w:rsid w:val="00792089"/>
    <w:rsid w:val="00792201"/>
    <w:rsid w:val="00792752"/>
    <w:rsid w:val="00792830"/>
    <w:rsid w:val="00792877"/>
    <w:rsid w:val="00792A7D"/>
    <w:rsid w:val="00792A91"/>
    <w:rsid w:val="00792BA1"/>
    <w:rsid w:val="00792BFF"/>
    <w:rsid w:val="00792DE0"/>
    <w:rsid w:val="00792FDF"/>
    <w:rsid w:val="007931A8"/>
    <w:rsid w:val="0079374A"/>
    <w:rsid w:val="007938EE"/>
    <w:rsid w:val="00793DDF"/>
    <w:rsid w:val="00793E14"/>
    <w:rsid w:val="00794044"/>
    <w:rsid w:val="00794522"/>
    <w:rsid w:val="0079470F"/>
    <w:rsid w:val="00794898"/>
    <w:rsid w:val="007949F2"/>
    <w:rsid w:val="00794CB2"/>
    <w:rsid w:val="007950F7"/>
    <w:rsid w:val="007951B2"/>
    <w:rsid w:val="00795583"/>
    <w:rsid w:val="00795B1F"/>
    <w:rsid w:val="00795D41"/>
    <w:rsid w:val="00796268"/>
    <w:rsid w:val="007963D7"/>
    <w:rsid w:val="007963F1"/>
    <w:rsid w:val="00797118"/>
    <w:rsid w:val="0079773A"/>
    <w:rsid w:val="00797BF4"/>
    <w:rsid w:val="007A0337"/>
    <w:rsid w:val="007A0841"/>
    <w:rsid w:val="007A0B9A"/>
    <w:rsid w:val="007A0DCE"/>
    <w:rsid w:val="007A0DE4"/>
    <w:rsid w:val="007A10CA"/>
    <w:rsid w:val="007A1433"/>
    <w:rsid w:val="007A1693"/>
    <w:rsid w:val="007A16F5"/>
    <w:rsid w:val="007A1849"/>
    <w:rsid w:val="007A1E42"/>
    <w:rsid w:val="007A1F7E"/>
    <w:rsid w:val="007A1FA0"/>
    <w:rsid w:val="007A233B"/>
    <w:rsid w:val="007A2F44"/>
    <w:rsid w:val="007A30BB"/>
    <w:rsid w:val="007A337C"/>
    <w:rsid w:val="007A361E"/>
    <w:rsid w:val="007A36AA"/>
    <w:rsid w:val="007A39F9"/>
    <w:rsid w:val="007A3CE7"/>
    <w:rsid w:val="007A3D9E"/>
    <w:rsid w:val="007A461D"/>
    <w:rsid w:val="007A49AE"/>
    <w:rsid w:val="007A4A93"/>
    <w:rsid w:val="007A4C10"/>
    <w:rsid w:val="007A528F"/>
    <w:rsid w:val="007A5A1F"/>
    <w:rsid w:val="007A5C3B"/>
    <w:rsid w:val="007A65D2"/>
    <w:rsid w:val="007A6BCF"/>
    <w:rsid w:val="007A6FF4"/>
    <w:rsid w:val="007A704D"/>
    <w:rsid w:val="007A714D"/>
    <w:rsid w:val="007A728E"/>
    <w:rsid w:val="007A7793"/>
    <w:rsid w:val="007A77D3"/>
    <w:rsid w:val="007A78EA"/>
    <w:rsid w:val="007A7D03"/>
    <w:rsid w:val="007A7E69"/>
    <w:rsid w:val="007A7F0B"/>
    <w:rsid w:val="007B0576"/>
    <w:rsid w:val="007B0B2E"/>
    <w:rsid w:val="007B111B"/>
    <w:rsid w:val="007B1368"/>
    <w:rsid w:val="007B1374"/>
    <w:rsid w:val="007B140A"/>
    <w:rsid w:val="007B1F46"/>
    <w:rsid w:val="007B1F7A"/>
    <w:rsid w:val="007B21C9"/>
    <w:rsid w:val="007B2230"/>
    <w:rsid w:val="007B2237"/>
    <w:rsid w:val="007B25C1"/>
    <w:rsid w:val="007B28F5"/>
    <w:rsid w:val="007B2C32"/>
    <w:rsid w:val="007B2DE3"/>
    <w:rsid w:val="007B2E18"/>
    <w:rsid w:val="007B30DC"/>
    <w:rsid w:val="007B3223"/>
    <w:rsid w:val="007B36F7"/>
    <w:rsid w:val="007B3728"/>
    <w:rsid w:val="007B4048"/>
    <w:rsid w:val="007B4357"/>
    <w:rsid w:val="007B46DD"/>
    <w:rsid w:val="007B49B4"/>
    <w:rsid w:val="007B5CAC"/>
    <w:rsid w:val="007B5CD2"/>
    <w:rsid w:val="007B5EFE"/>
    <w:rsid w:val="007B5FAD"/>
    <w:rsid w:val="007B5FDA"/>
    <w:rsid w:val="007B623F"/>
    <w:rsid w:val="007B6F00"/>
    <w:rsid w:val="007B6FFC"/>
    <w:rsid w:val="007B7092"/>
    <w:rsid w:val="007B71AC"/>
    <w:rsid w:val="007B7E2B"/>
    <w:rsid w:val="007B7F67"/>
    <w:rsid w:val="007C0472"/>
    <w:rsid w:val="007C08AA"/>
    <w:rsid w:val="007C0D19"/>
    <w:rsid w:val="007C118A"/>
    <w:rsid w:val="007C1298"/>
    <w:rsid w:val="007C17ED"/>
    <w:rsid w:val="007C1E7A"/>
    <w:rsid w:val="007C1E99"/>
    <w:rsid w:val="007C294F"/>
    <w:rsid w:val="007C2B86"/>
    <w:rsid w:val="007C2E69"/>
    <w:rsid w:val="007C3396"/>
    <w:rsid w:val="007C355C"/>
    <w:rsid w:val="007C36E1"/>
    <w:rsid w:val="007C39A9"/>
    <w:rsid w:val="007C3F3C"/>
    <w:rsid w:val="007C4A56"/>
    <w:rsid w:val="007C4BDC"/>
    <w:rsid w:val="007C4CF7"/>
    <w:rsid w:val="007C4F36"/>
    <w:rsid w:val="007C505C"/>
    <w:rsid w:val="007C51B3"/>
    <w:rsid w:val="007C5698"/>
    <w:rsid w:val="007C5B00"/>
    <w:rsid w:val="007C5E82"/>
    <w:rsid w:val="007C6120"/>
    <w:rsid w:val="007C635A"/>
    <w:rsid w:val="007C6474"/>
    <w:rsid w:val="007C6750"/>
    <w:rsid w:val="007C68CA"/>
    <w:rsid w:val="007C6956"/>
    <w:rsid w:val="007C6ACA"/>
    <w:rsid w:val="007C7C75"/>
    <w:rsid w:val="007C7D48"/>
    <w:rsid w:val="007D002C"/>
    <w:rsid w:val="007D0302"/>
    <w:rsid w:val="007D0904"/>
    <w:rsid w:val="007D14A2"/>
    <w:rsid w:val="007D1CCA"/>
    <w:rsid w:val="007D247A"/>
    <w:rsid w:val="007D2C8C"/>
    <w:rsid w:val="007D2EEF"/>
    <w:rsid w:val="007D30FB"/>
    <w:rsid w:val="007D33DA"/>
    <w:rsid w:val="007D374A"/>
    <w:rsid w:val="007D383E"/>
    <w:rsid w:val="007D3C7B"/>
    <w:rsid w:val="007D3ED8"/>
    <w:rsid w:val="007D416A"/>
    <w:rsid w:val="007D42A5"/>
    <w:rsid w:val="007D438E"/>
    <w:rsid w:val="007D44CD"/>
    <w:rsid w:val="007D47B0"/>
    <w:rsid w:val="007D4BAF"/>
    <w:rsid w:val="007D4FEA"/>
    <w:rsid w:val="007D51AE"/>
    <w:rsid w:val="007D53CC"/>
    <w:rsid w:val="007D5BF0"/>
    <w:rsid w:val="007D5F80"/>
    <w:rsid w:val="007D62C7"/>
    <w:rsid w:val="007D64C2"/>
    <w:rsid w:val="007D65A7"/>
    <w:rsid w:val="007D6B05"/>
    <w:rsid w:val="007D6B13"/>
    <w:rsid w:val="007D6B37"/>
    <w:rsid w:val="007D6DE9"/>
    <w:rsid w:val="007D6FD1"/>
    <w:rsid w:val="007D72A7"/>
    <w:rsid w:val="007D73EB"/>
    <w:rsid w:val="007D7A40"/>
    <w:rsid w:val="007D7E89"/>
    <w:rsid w:val="007E0283"/>
    <w:rsid w:val="007E097A"/>
    <w:rsid w:val="007E0A0A"/>
    <w:rsid w:val="007E108B"/>
    <w:rsid w:val="007E1190"/>
    <w:rsid w:val="007E11D6"/>
    <w:rsid w:val="007E14EF"/>
    <w:rsid w:val="007E16DB"/>
    <w:rsid w:val="007E18FF"/>
    <w:rsid w:val="007E196F"/>
    <w:rsid w:val="007E223C"/>
    <w:rsid w:val="007E2427"/>
    <w:rsid w:val="007E250E"/>
    <w:rsid w:val="007E27AD"/>
    <w:rsid w:val="007E27FE"/>
    <w:rsid w:val="007E281A"/>
    <w:rsid w:val="007E2C1F"/>
    <w:rsid w:val="007E3221"/>
    <w:rsid w:val="007E3616"/>
    <w:rsid w:val="007E3CAE"/>
    <w:rsid w:val="007E444A"/>
    <w:rsid w:val="007E44B7"/>
    <w:rsid w:val="007E46E2"/>
    <w:rsid w:val="007E5558"/>
    <w:rsid w:val="007E610A"/>
    <w:rsid w:val="007E6434"/>
    <w:rsid w:val="007E6635"/>
    <w:rsid w:val="007E6FE3"/>
    <w:rsid w:val="007E75A0"/>
    <w:rsid w:val="007F0051"/>
    <w:rsid w:val="007F0602"/>
    <w:rsid w:val="007F06AE"/>
    <w:rsid w:val="007F0833"/>
    <w:rsid w:val="007F19A9"/>
    <w:rsid w:val="007F1B9F"/>
    <w:rsid w:val="007F1BE7"/>
    <w:rsid w:val="007F1FB7"/>
    <w:rsid w:val="007F26D1"/>
    <w:rsid w:val="007F2864"/>
    <w:rsid w:val="007F2A71"/>
    <w:rsid w:val="007F2A7B"/>
    <w:rsid w:val="007F2E52"/>
    <w:rsid w:val="007F35E5"/>
    <w:rsid w:val="007F386C"/>
    <w:rsid w:val="007F3955"/>
    <w:rsid w:val="007F39EF"/>
    <w:rsid w:val="007F3DAC"/>
    <w:rsid w:val="007F441F"/>
    <w:rsid w:val="007F445F"/>
    <w:rsid w:val="007F465D"/>
    <w:rsid w:val="007F473C"/>
    <w:rsid w:val="007F4D74"/>
    <w:rsid w:val="007F54BD"/>
    <w:rsid w:val="007F58F2"/>
    <w:rsid w:val="007F5DA9"/>
    <w:rsid w:val="007F6165"/>
    <w:rsid w:val="007F655B"/>
    <w:rsid w:val="007F6D39"/>
    <w:rsid w:val="007F74D4"/>
    <w:rsid w:val="007F773B"/>
    <w:rsid w:val="007F7FAC"/>
    <w:rsid w:val="008001DE"/>
    <w:rsid w:val="00800280"/>
    <w:rsid w:val="00800535"/>
    <w:rsid w:val="008008A6"/>
    <w:rsid w:val="00800984"/>
    <w:rsid w:val="0080105A"/>
    <w:rsid w:val="00801AFD"/>
    <w:rsid w:val="00801D79"/>
    <w:rsid w:val="00801EE2"/>
    <w:rsid w:val="00801FC1"/>
    <w:rsid w:val="0080216D"/>
    <w:rsid w:val="00802180"/>
    <w:rsid w:val="0080225E"/>
    <w:rsid w:val="0080245B"/>
    <w:rsid w:val="00802955"/>
    <w:rsid w:val="00802A42"/>
    <w:rsid w:val="00802DF1"/>
    <w:rsid w:val="0080368A"/>
    <w:rsid w:val="00803725"/>
    <w:rsid w:val="00803EC6"/>
    <w:rsid w:val="00804785"/>
    <w:rsid w:val="00804CDE"/>
    <w:rsid w:val="0080504D"/>
    <w:rsid w:val="00805331"/>
    <w:rsid w:val="00805613"/>
    <w:rsid w:val="0080567E"/>
    <w:rsid w:val="008059D3"/>
    <w:rsid w:val="00805A39"/>
    <w:rsid w:val="00805A5E"/>
    <w:rsid w:val="00805AEC"/>
    <w:rsid w:val="00805B28"/>
    <w:rsid w:val="008062C3"/>
    <w:rsid w:val="008067E4"/>
    <w:rsid w:val="00806A70"/>
    <w:rsid w:val="00806A95"/>
    <w:rsid w:val="00806C15"/>
    <w:rsid w:val="00806C78"/>
    <w:rsid w:val="00806D97"/>
    <w:rsid w:val="00806ED8"/>
    <w:rsid w:val="00807263"/>
    <w:rsid w:val="00807D81"/>
    <w:rsid w:val="00807FE2"/>
    <w:rsid w:val="008100D9"/>
    <w:rsid w:val="0081075B"/>
    <w:rsid w:val="0081091F"/>
    <w:rsid w:val="008109F1"/>
    <w:rsid w:val="00810B2B"/>
    <w:rsid w:val="00811262"/>
    <w:rsid w:val="0081135B"/>
    <w:rsid w:val="00811632"/>
    <w:rsid w:val="0081176F"/>
    <w:rsid w:val="008118E6"/>
    <w:rsid w:val="008121D1"/>
    <w:rsid w:val="00812298"/>
    <w:rsid w:val="00812368"/>
    <w:rsid w:val="008127F6"/>
    <w:rsid w:val="008132E8"/>
    <w:rsid w:val="00813698"/>
    <w:rsid w:val="008139F1"/>
    <w:rsid w:val="00813E5B"/>
    <w:rsid w:val="00814071"/>
    <w:rsid w:val="008144FC"/>
    <w:rsid w:val="0081490B"/>
    <w:rsid w:val="00814E30"/>
    <w:rsid w:val="00815089"/>
    <w:rsid w:val="00815364"/>
    <w:rsid w:val="008154CC"/>
    <w:rsid w:val="00815CAE"/>
    <w:rsid w:val="00815D9F"/>
    <w:rsid w:val="00816070"/>
    <w:rsid w:val="00816292"/>
    <w:rsid w:val="00816C58"/>
    <w:rsid w:val="00816C84"/>
    <w:rsid w:val="0081700D"/>
    <w:rsid w:val="00817F02"/>
    <w:rsid w:val="00817F59"/>
    <w:rsid w:val="00820186"/>
    <w:rsid w:val="008207BA"/>
    <w:rsid w:val="00821CE3"/>
    <w:rsid w:val="00822021"/>
    <w:rsid w:val="0082241F"/>
    <w:rsid w:val="0082257D"/>
    <w:rsid w:val="008227F3"/>
    <w:rsid w:val="0082289D"/>
    <w:rsid w:val="008228D9"/>
    <w:rsid w:val="00822B9B"/>
    <w:rsid w:val="00822D4B"/>
    <w:rsid w:val="00822D82"/>
    <w:rsid w:val="00822FCE"/>
    <w:rsid w:val="0082308E"/>
    <w:rsid w:val="008235C6"/>
    <w:rsid w:val="00823A2E"/>
    <w:rsid w:val="00823F11"/>
    <w:rsid w:val="008242E0"/>
    <w:rsid w:val="00824854"/>
    <w:rsid w:val="008248A0"/>
    <w:rsid w:val="00824E00"/>
    <w:rsid w:val="00825002"/>
    <w:rsid w:val="0082503B"/>
    <w:rsid w:val="00825C80"/>
    <w:rsid w:val="0082612C"/>
    <w:rsid w:val="008268F4"/>
    <w:rsid w:val="0082705D"/>
    <w:rsid w:val="00827459"/>
    <w:rsid w:val="008276EE"/>
    <w:rsid w:val="00827BE8"/>
    <w:rsid w:val="00830A0A"/>
    <w:rsid w:val="00830E9C"/>
    <w:rsid w:val="008315AC"/>
    <w:rsid w:val="0083185B"/>
    <w:rsid w:val="00831EAE"/>
    <w:rsid w:val="00831F48"/>
    <w:rsid w:val="008320B3"/>
    <w:rsid w:val="00832363"/>
    <w:rsid w:val="0083266A"/>
    <w:rsid w:val="008326CD"/>
    <w:rsid w:val="00832A68"/>
    <w:rsid w:val="00832B8C"/>
    <w:rsid w:val="00832DD4"/>
    <w:rsid w:val="00833732"/>
    <w:rsid w:val="008337A8"/>
    <w:rsid w:val="0083390F"/>
    <w:rsid w:val="00833AD2"/>
    <w:rsid w:val="008340B5"/>
    <w:rsid w:val="008340E0"/>
    <w:rsid w:val="00834709"/>
    <w:rsid w:val="00834859"/>
    <w:rsid w:val="00834E47"/>
    <w:rsid w:val="00835315"/>
    <w:rsid w:val="00835440"/>
    <w:rsid w:val="00835711"/>
    <w:rsid w:val="00836912"/>
    <w:rsid w:val="00836C01"/>
    <w:rsid w:val="00836DB4"/>
    <w:rsid w:val="00837054"/>
    <w:rsid w:val="0083713D"/>
    <w:rsid w:val="00837295"/>
    <w:rsid w:val="008374F5"/>
    <w:rsid w:val="0084018E"/>
    <w:rsid w:val="008405D0"/>
    <w:rsid w:val="008407CF"/>
    <w:rsid w:val="00840873"/>
    <w:rsid w:val="00841418"/>
    <w:rsid w:val="008423FF"/>
    <w:rsid w:val="00842C27"/>
    <w:rsid w:val="00842F84"/>
    <w:rsid w:val="008433CD"/>
    <w:rsid w:val="0084342B"/>
    <w:rsid w:val="00843490"/>
    <w:rsid w:val="00843C91"/>
    <w:rsid w:val="00844641"/>
    <w:rsid w:val="008447B7"/>
    <w:rsid w:val="008448C1"/>
    <w:rsid w:val="00844EFA"/>
    <w:rsid w:val="0084536A"/>
    <w:rsid w:val="00845794"/>
    <w:rsid w:val="008457E4"/>
    <w:rsid w:val="00845D70"/>
    <w:rsid w:val="00845F3D"/>
    <w:rsid w:val="0084621C"/>
    <w:rsid w:val="008472CF"/>
    <w:rsid w:val="0084735F"/>
    <w:rsid w:val="00847770"/>
    <w:rsid w:val="00847E70"/>
    <w:rsid w:val="0085081E"/>
    <w:rsid w:val="00850AEE"/>
    <w:rsid w:val="00850DD7"/>
    <w:rsid w:val="00850E6C"/>
    <w:rsid w:val="00851085"/>
    <w:rsid w:val="00851300"/>
    <w:rsid w:val="00851736"/>
    <w:rsid w:val="00851907"/>
    <w:rsid w:val="0085201F"/>
    <w:rsid w:val="00852276"/>
    <w:rsid w:val="00852280"/>
    <w:rsid w:val="0085237D"/>
    <w:rsid w:val="008525C7"/>
    <w:rsid w:val="008527F2"/>
    <w:rsid w:val="0085285A"/>
    <w:rsid w:val="00852BD8"/>
    <w:rsid w:val="00852F13"/>
    <w:rsid w:val="00853007"/>
    <w:rsid w:val="008533E5"/>
    <w:rsid w:val="00853842"/>
    <w:rsid w:val="00853C85"/>
    <w:rsid w:val="00853D53"/>
    <w:rsid w:val="00853ED9"/>
    <w:rsid w:val="0085472B"/>
    <w:rsid w:val="00854B2E"/>
    <w:rsid w:val="00854CC2"/>
    <w:rsid w:val="00854ED8"/>
    <w:rsid w:val="00855024"/>
    <w:rsid w:val="00855216"/>
    <w:rsid w:val="008554CE"/>
    <w:rsid w:val="008555A6"/>
    <w:rsid w:val="008564E2"/>
    <w:rsid w:val="00856697"/>
    <w:rsid w:val="00856E1B"/>
    <w:rsid w:val="00857331"/>
    <w:rsid w:val="008576D6"/>
    <w:rsid w:val="0085791B"/>
    <w:rsid w:val="00857B2B"/>
    <w:rsid w:val="00857B73"/>
    <w:rsid w:val="008600D7"/>
    <w:rsid w:val="00860423"/>
    <w:rsid w:val="008607B6"/>
    <w:rsid w:val="008608FF"/>
    <w:rsid w:val="00860C18"/>
    <w:rsid w:val="008612AE"/>
    <w:rsid w:val="0086138B"/>
    <w:rsid w:val="008617E0"/>
    <w:rsid w:val="008618E1"/>
    <w:rsid w:val="00861C02"/>
    <w:rsid w:val="00861F41"/>
    <w:rsid w:val="008621A5"/>
    <w:rsid w:val="008622D6"/>
    <w:rsid w:val="00862322"/>
    <w:rsid w:val="008623BE"/>
    <w:rsid w:val="00862885"/>
    <w:rsid w:val="00862A36"/>
    <w:rsid w:val="00862A75"/>
    <w:rsid w:val="00862B6F"/>
    <w:rsid w:val="00863904"/>
    <w:rsid w:val="0086396B"/>
    <w:rsid w:val="00863FA6"/>
    <w:rsid w:val="00864337"/>
    <w:rsid w:val="00864355"/>
    <w:rsid w:val="008643AA"/>
    <w:rsid w:val="008648F4"/>
    <w:rsid w:val="00864901"/>
    <w:rsid w:val="00864EDF"/>
    <w:rsid w:val="00865494"/>
    <w:rsid w:val="00865B3D"/>
    <w:rsid w:val="00866138"/>
    <w:rsid w:val="008663D4"/>
    <w:rsid w:val="00866750"/>
    <w:rsid w:val="008667D2"/>
    <w:rsid w:val="00866934"/>
    <w:rsid w:val="00866D4A"/>
    <w:rsid w:val="008673AB"/>
    <w:rsid w:val="00867515"/>
    <w:rsid w:val="00867736"/>
    <w:rsid w:val="00867A93"/>
    <w:rsid w:val="00867FA5"/>
    <w:rsid w:val="0087058F"/>
    <w:rsid w:val="0087076B"/>
    <w:rsid w:val="00870A59"/>
    <w:rsid w:val="00870AA5"/>
    <w:rsid w:val="00871514"/>
    <w:rsid w:val="0087198A"/>
    <w:rsid w:val="008719AE"/>
    <w:rsid w:val="00871F0C"/>
    <w:rsid w:val="00872062"/>
    <w:rsid w:val="00872343"/>
    <w:rsid w:val="008724CD"/>
    <w:rsid w:val="00872A3A"/>
    <w:rsid w:val="00872C89"/>
    <w:rsid w:val="00873D67"/>
    <w:rsid w:val="0087409A"/>
    <w:rsid w:val="0087429D"/>
    <w:rsid w:val="008745EE"/>
    <w:rsid w:val="008745F3"/>
    <w:rsid w:val="0087477A"/>
    <w:rsid w:val="008748AE"/>
    <w:rsid w:val="008748BB"/>
    <w:rsid w:val="00874BBB"/>
    <w:rsid w:val="00875216"/>
    <w:rsid w:val="00875394"/>
    <w:rsid w:val="00875425"/>
    <w:rsid w:val="00875A02"/>
    <w:rsid w:val="00875A22"/>
    <w:rsid w:val="0087665C"/>
    <w:rsid w:val="00876708"/>
    <w:rsid w:val="008767E0"/>
    <w:rsid w:val="00876849"/>
    <w:rsid w:val="00876ADF"/>
    <w:rsid w:val="00876C3B"/>
    <w:rsid w:val="00876FCF"/>
    <w:rsid w:val="00877381"/>
    <w:rsid w:val="0087746D"/>
    <w:rsid w:val="00877665"/>
    <w:rsid w:val="00877998"/>
    <w:rsid w:val="008779D9"/>
    <w:rsid w:val="00877F7B"/>
    <w:rsid w:val="00880216"/>
    <w:rsid w:val="0088055F"/>
    <w:rsid w:val="0088091A"/>
    <w:rsid w:val="00880AFA"/>
    <w:rsid w:val="00880FFA"/>
    <w:rsid w:val="00881804"/>
    <w:rsid w:val="00882297"/>
    <w:rsid w:val="00882365"/>
    <w:rsid w:val="008825AF"/>
    <w:rsid w:val="0088281C"/>
    <w:rsid w:val="00882B13"/>
    <w:rsid w:val="0088392C"/>
    <w:rsid w:val="00883A27"/>
    <w:rsid w:val="00883F80"/>
    <w:rsid w:val="00883FAE"/>
    <w:rsid w:val="00884533"/>
    <w:rsid w:val="008845C1"/>
    <w:rsid w:val="00884643"/>
    <w:rsid w:val="00884C1D"/>
    <w:rsid w:val="00884D86"/>
    <w:rsid w:val="00884FA4"/>
    <w:rsid w:val="00885005"/>
    <w:rsid w:val="00885029"/>
    <w:rsid w:val="00885096"/>
    <w:rsid w:val="008852CC"/>
    <w:rsid w:val="00885722"/>
    <w:rsid w:val="00885A4F"/>
    <w:rsid w:val="00885C03"/>
    <w:rsid w:val="00886230"/>
    <w:rsid w:val="00886780"/>
    <w:rsid w:val="00886795"/>
    <w:rsid w:val="00886A18"/>
    <w:rsid w:val="00886FC9"/>
    <w:rsid w:val="008874AE"/>
    <w:rsid w:val="008875FB"/>
    <w:rsid w:val="00887821"/>
    <w:rsid w:val="008878E9"/>
    <w:rsid w:val="00887A3E"/>
    <w:rsid w:val="00887AFD"/>
    <w:rsid w:val="00887EF2"/>
    <w:rsid w:val="00887FCE"/>
    <w:rsid w:val="00890050"/>
    <w:rsid w:val="00890384"/>
    <w:rsid w:val="00890805"/>
    <w:rsid w:val="00890B5C"/>
    <w:rsid w:val="00890C8C"/>
    <w:rsid w:val="00890DE8"/>
    <w:rsid w:val="008910B1"/>
    <w:rsid w:val="008911D1"/>
    <w:rsid w:val="008912CD"/>
    <w:rsid w:val="00891378"/>
    <w:rsid w:val="00891726"/>
    <w:rsid w:val="0089173F"/>
    <w:rsid w:val="0089179A"/>
    <w:rsid w:val="00892B43"/>
    <w:rsid w:val="0089358B"/>
    <w:rsid w:val="00893806"/>
    <w:rsid w:val="008940EE"/>
    <w:rsid w:val="0089419B"/>
    <w:rsid w:val="0089447E"/>
    <w:rsid w:val="008948A4"/>
    <w:rsid w:val="0089505E"/>
    <w:rsid w:val="00895131"/>
    <w:rsid w:val="0089535D"/>
    <w:rsid w:val="00895767"/>
    <w:rsid w:val="008957B9"/>
    <w:rsid w:val="00895825"/>
    <w:rsid w:val="00895989"/>
    <w:rsid w:val="00895D96"/>
    <w:rsid w:val="00896A00"/>
    <w:rsid w:val="00896B94"/>
    <w:rsid w:val="00896DD8"/>
    <w:rsid w:val="00896F46"/>
    <w:rsid w:val="008971F1"/>
    <w:rsid w:val="008975F3"/>
    <w:rsid w:val="00897940"/>
    <w:rsid w:val="00897D12"/>
    <w:rsid w:val="008A0BDF"/>
    <w:rsid w:val="008A0C48"/>
    <w:rsid w:val="008A12B6"/>
    <w:rsid w:val="008A1319"/>
    <w:rsid w:val="008A138F"/>
    <w:rsid w:val="008A158D"/>
    <w:rsid w:val="008A164C"/>
    <w:rsid w:val="008A17B9"/>
    <w:rsid w:val="008A1904"/>
    <w:rsid w:val="008A191B"/>
    <w:rsid w:val="008A1B7E"/>
    <w:rsid w:val="008A1F13"/>
    <w:rsid w:val="008A2307"/>
    <w:rsid w:val="008A2E8D"/>
    <w:rsid w:val="008A2F03"/>
    <w:rsid w:val="008A3474"/>
    <w:rsid w:val="008A38C1"/>
    <w:rsid w:val="008A39C9"/>
    <w:rsid w:val="008A3BAE"/>
    <w:rsid w:val="008A3DA8"/>
    <w:rsid w:val="008A3F2F"/>
    <w:rsid w:val="008A4203"/>
    <w:rsid w:val="008A4C00"/>
    <w:rsid w:val="008A4ED6"/>
    <w:rsid w:val="008A4F9F"/>
    <w:rsid w:val="008A4FBD"/>
    <w:rsid w:val="008A53BE"/>
    <w:rsid w:val="008A55F5"/>
    <w:rsid w:val="008A594E"/>
    <w:rsid w:val="008A62DA"/>
    <w:rsid w:val="008A7627"/>
    <w:rsid w:val="008A76CB"/>
    <w:rsid w:val="008A7776"/>
    <w:rsid w:val="008A794E"/>
    <w:rsid w:val="008A7DA4"/>
    <w:rsid w:val="008A7E27"/>
    <w:rsid w:val="008B0466"/>
    <w:rsid w:val="008B0B1C"/>
    <w:rsid w:val="008B0CB5"/>
    <w:rsid w:val="008B0D0A"/>
    <w:rsid w:val="008B0E17"/>
    <w:rsid w:val="008B0EE7"/>
    <w:rsid w:val="008B1205"/>
    <w:rsid w:val="008B172E"/>
    <w:rsid w:val="008B17E4"/>
    <w:rsid w:val="008B1C9A"/>
    <w:rsid w:val="008B1F62"/>
    <w:rsid w:val="008B1FFF"/>
    <w:rsid w:val="008B20A6"/>
    <w:rsid w:val="008B211D"/>
    <w:rsid w:val="008B25F7"/>
    <w:rsid w:val="008B2894"/>
    <w:rsid w:val="008B28CE"/>
    <w:rsid w:val="008B2E33"/>
    <w:rsid w:val="008B2E84"/>
    <w:rsid w:val="008B3070"/>
    <w:rsid w:val="008B312E"/>
    <w:rsid w:val="008B3749"/>
    <w:rsid w:val="008B388E"/>
    <w:rsid w:val="008B3C4D"/>
    <w:rsid w:val="008B3D54"/>
    <w:rsid w:val="008B3F10"/>
    <w:rsid w:val="008B42C5"/>
    <w:rsid w:val="008B4491"/>
    <w:rsid w:val="008B4AB6"/>
    <w:rsid w:val="008B4BD0"/>
    <w:rsid w:val="008B4C7C"/>
    <w:rsid w:val="008B50A1"/>
    <w:rsid w:val="008B5652"/>
    <w:rsid w:val="008B57D3"/>
    <w:rsid w:val="008B585D"/>
    <w:rsid w:val="008B5957"/>
    <w:rsid w:val="008B600A"/>
    <w:rsid w:val="008B601F"/>
    <w:rsid w:val="008B6264"/>
    <w:rsid w:val="008B66E6"/>
    <w:rsid w:val="008B66EA"/>
    <w:rsid w:val="008B67BA"/>
    <w:rsid w:val="008B6A46"/>
    <w:rsid w:val="008B6BF0"/>
    <w:rsid w:val="008B6C3B"/>
    <w:rsid w:val="008B7039"/>
    <w:rsid w:val="008B7AFB"/>
    <w:rsid w:val="008C0194"/>
    <w:rsid w:val="008C02DB"/>
    <w:rsid w:val="008C0A19"/>
    <w:rsid w:val="008C0A7F"/>
    <w:rsid w:val="008C0A80"/>
    <w:rsid w:val="008C0AEF"/>
    <w:rsid w:val="008C0B1B"/>
    <w:rsid w:val="008C0DBC"/>
    <w:rsid w:val="008C11D2"/>
    <w:rsid w:val="008C1521"/>
    <w:rsid w:val="008C16DA"/>
    <w:rsid w:val="008C1ABE"/>
    <w:rsid w:val="008C1C51"/>
    <w:rsid w:val="008C1F94"/>
    <w:rsid w:val="008C27BC"/>
    <w:rsid w:val="008C2979"/>
    <w:rsid w:val="008C2AFE"/>
    <w:rsid w:val="008C2C21"/>
    <w:rsid w:val="008C2D0C"/>
    <w:rsid w:val="008C2D49"/>
    <w:rsid w:val="008C2E8E"/>
    <w:rsid w:val="008C2ED6"/>
    <w:rsid w:val="008C342F"/>
    <w:rsid w:val="008C35AB"/>
    <w:rsid w:val="008C3BFB"/>
    <w:rsid w:val="008C44BE"/>
    <w:rsid w:val="008C4A1C"/>
    <w:rsid w:val="008C5129"/>
    <w:rsid w:val="008C5BAD"/>
    <w:rsid w:val="008C5D4A"/>
    <w:rsid w:val="008C5EA3"/>
    <w:rsid w:val="008C5EF0"/>
    <w:rsid w:val="008C6079"/>
    <w:rsid w:val="008C6217"/>
    <w:rsid w:val="008C6BC5"/>
    <w:rsid w:val="008C6C85"/>
    <w:rsid w:val="008C6F0E"/>
    <w:rsid w:val="008C75C3"/>
    <w:rsid w:val="008C7887"/>
    <w:rsid w:val="008C789A"/>
    <w:rsid w:val="008C7C43"/>
    <w:rsid w:val="008C7EED"/>
    <w:rsid w:val="008D0093"/>
    <w:rsid w:val="008D05FA"/>
    <w:rsid w:val="008D095C"/>
    <w:rsid w:val="008D0C12"/>
    <w:rsid w:val="008D0F88"/>
    <w:rsid w:val="008D1016"/>
    <w:rsid w:val="008D1051"/>
    <w:rsid w:val="008D14B1"/>
    <w:rsid w:val="008D17B6"/>
    <w:rsid w:val="008D1C10"/>
    <w:rsid w:val="008D1C84"/>
    <w:rsid w:val="008D1DA7"/>
    <w:rsid w:val="008D2019"/>
    <w:rsid w:val="008D213B"/>
    <w:rsid w:val="008D2171"/>
    <w:rsid w:val="008D2BDA"/>
    <w:rsid w:val="008D31BB"/>
    <w:rsid w:val="008D3441"/>
    <w:rsid w:val="008D3588"/>
    <w:rsid w:val="008D359D"/>
    <w:rsid w:val="008D3D40"/>
    <w:rsid w:val="008D3E71"/>
    <w:rsid w:val="008D40A5"/>
    <w:rsid w:val="008D4984"/>
    <w:rsid w:val="008D49AA"/>
    <w:rsid w:val="008D4A1A"/>
    <w:rsid w:val="008D4BF2"/>
    <w:rsid w:val="008D4C23"/>
    <w:rsid w:val="008D591A"/>
    <w:rsid w:val="008D5BC5"/>
    <w:rsid w:val="008D6007"/>
    <w:rsid w:val="008D6537"/>
    <w:rsid w:val="008D65F9"/>
    <w:rsid w:val="008D6679"/>
    <w:rsid w:val="008D66F5"/>
    <w:rsid w:val="008D6D79"/>
    <w:rsid w:val="008D6F6B"/>
    <w:rsid w:val="008D7034"/>
    <w:rsid w:val="008D718A"/>
    <w:rsid w:val="008D719D"/>
    <w:rsid w:val="008D7B2E"/>
    <w:rsid w:val="008D7D00"/>
    <w:rsid w:val="008D7DFA"/>
    <w:rsid w:val="008D7F70"/>
    <w:rsid w:val="008E0171"/>
    <w:rsid w:val="008E05F2"/>
    <w:rsid w:val="008E070A"/>
    <w:rsid w:val="008E101A"/>
    <w:rsid w:val="008E1062"/>
    <w:rsid w:val="008E14C0"/>
    <w:rsid w:val="008E15B3"/>
    <w:rsid w:val="008E15E9"/>
    <w:rsid w:val="008E19C2"/>
    <w:rsid w:val="008E1A4F"/>
    <w:rsid w:val="008E1F48"/>
    <w:rsid w:val="008E2512"/>
    <w:rsid w:val="008E28F7"/>
    <w:rsid w:val="008E297B"/>
    <w:rsid w:val="008E29B7"/>
    <w:rsid w:val="008E2A63"/>
    <w:rsid w:val="008E2B35"/>
    <w:rsid w:val="008E30BA"/>
    <w:rsid w:val="008E342F"/>
    <w:rsid w:val="008E3862"/>
    <w:rsid w:val="008E3A58"/>
    <w:rsid w:val="008E3BF3"/>
    <w:rsid w:val="008E3D45"/>
    <w:rsid w:val="008E41C0"/>
    <w:rsid w:val="008E42C4"/>
    <w:rsid w:val="008E446E"/>
    <w:rsid w:val="008E44E6"/>
    <w:rsid w:val="008E44F4"/>
    <w:rsid w:val="008E48A1"/>
    <w:rsid w:val="008E49FE"/>
    <w:rsid w:val="008E4AA1"/>
    <w:rsid w:val="008E4B80"/>
    <w:rsid w:val="008E4F82"/>
    <w:rsid w:val="008E4FFD"/>
    <w:rsid w:val="008E514E"/>
    <w:rsid w:val="008E5383"/>
    <w:rsid w:val="008E5426"/>
    <w:rsid w:val="008E54C3"/>
    <w:rsid w:val="008E552B"/>
    <w:rsid w:val="008E5659"/>
    <w:rsid w:val="008E599C"/>
    <w:rsid w:val="008E633A"/>
    <w:rsid w:val="008E634E"/>
    <w:rsid w:val="008E6D72"/>
    <w:rsid w:val="008E6FA1"/>
    <w:rsid w:val="008F0389"/>
    <w:rsid w:val="008F049C"/>
    <w:rsid w:val="008F08D7"/>
    <w:rsid w:val="008F0EC3"/>
    <w:rsid w:val="008F0FDE"/>
    <w:rsid w:val="008F126C"/>
    <w:rsid w:val="008F128D"/>
    <w:rsid w:val="008F15F7"/>
    <w:rsid w:val="008F169E"/>
    <w:rsid w:val="008F16AF"/>
    <w:rsid w:val="008F18C4"/>
    <w:rsid w:val="008F1E14"/>
    <w:rsid w:val="008F2136"/>
    <w:rsid w:val="008F2C23"/>
    <w:rsid w:val="008F2F5E"/>
    <w:rsid w:val="008F3168"/>
    <w:rsid w:val="008F387F"/>
    <w:rsid w:val="008F4D00"/>
    <w:rsid w:val="008F4F94"/>
    <w:rsid w:val="008F5221"/>
    <w:rsid w:val="008F52C4"/>
    <w:rsid w:val="008F5349"/>
    <w:rsid w:val="008F5500"/>
    <w:rsid w:val="008F5F48"/>
    <w:rsid w:val="008F5F52"/>
    <w:rsid w:val="008F6335"/>
    <w:rsid w:val="008F6D9C"/>
    <w:rsid w:val="008F6E77"/>
    <w:rsid w:val="008F711C"/>
    <w:rsid w:val="008F74EC"/>
    <w:rsid w:val="008F78CC"/>
    <w:rsid w:val="008F794E"/>
    <w:rsid w:val="008F7AE2"/>
    <w:rsid w:val="008F7B93"/>
    <w:rsid w:val="008F7BBF"/>
    <w:rsid w:val="008F7C7C"/>
    <w:rsid w:val="008F7C91"/>
    <w:rsid w:val="00900165"/>
    <w:rsid w:val="00900C09"/>
    <w:rsid w:val="0090164E"/>
    <w:rsid w:val="00901B5D"/>
    <w:rsid w:val="00901C93"/>
    <w:rsid w:val="00901E8F"/>
    <w:rsid w:val="00901EFE"/>
    <w:rsid w:val="009021F1"/>
    <w:rsid w:val="00902539"/>
    <w:rsid w:val="0090272D"/>
    <w:rsid w:val="00902B3B"/>
    <w:rsid w:val="00902E6B"/>
    <w:rsid w:val="0090308C"/>
    <w:rsid w:val="00903151"/>
    <w:rsid w:val="009031E6"/>
    <w:rsid w:val="0090341F"/>
    <w:rsid w:val="009035A3"/>
    <w:rsid w:val="00903670"/>
    <w:rsid w:val="00903972"/>
    <w:rsid w:val="00903BDF"/>
    <w:rsid w:val="0090419E"/>
    <w:rsid w:val="009041B5"/>
    <w:rsid w:val="0090508D"/>
    <w:rsid w:val="00905096"/>
    <w:rsid w:val="00905413"/>
    <w:rsid w:val="00905687"/>
    <w:rsid w:val="0090582F"/>
    <w:rsid w:val="00905930"/>
    <w:rsid w:val="00905ED0"/>
    <w:rsid w:val="00905F9D"/>
    <w:rsid w:val="00906024"/>
    <w:rsid w:val="009060F4"/>
    <w:rsid w:val="0090616B"/>
    <w:rsid w:val="00906AA2"/>
    <w:rsid w:val="00906FCE"/>
    <w:rsid w:val="00906FF8"/>
    <w:rsid w:val="009074BB"/>
    <w:rsid w:val="00907544"/>
    <w:rsid w:val="009078BF"/>
    <w:rsid w:val="00907AAA"/>
    <w:rsid w:val="0091049A"/>
    <w:rsid w:val="00910705"/>
    <w:rsid w:val="009116AF"/>
    <w:rsid w:val="009116CF"/>
    <w:rsid w:val="009118CE"/>
    <w:rsid w:val="00912337"/>
    <w:rsid w:val="0091264B"/>
    <w:rsid w:val="009129E8"/>
    <w:rsid w:val="00912BCE"/>
    <w:rsid w:val="00913110"/>
    <w:rsid w:val="009133DC"/>
    <w:rsid w:val="0091391D"/>
    <w:rsid w:val="0091399F"/>
    <w:rsid w:val="00913C0D"/>
    <w:rsid w:val="00914000"/>
    <w:rsid w:val="00914288"/>
    <w:rsid w:val="009142A1"/>
    <w:rsid w:val="00914439"/>
    <w:rsid w:val="00914546"/>
    <w:rsid w:val="0091478F"/>
    <w:rsid w:val="00914CCF"/>
    <w:rsid w:val="009151AC"/>
    <w:rsid w:val="00915222"/>
    <w:rsid w:val="009152F0"/>
    <w:rsid w:val="009156A4"/>
    <w:rsid w:val="00915BD0"/>
    <w:rsid w:val="00915FC8"/>
    <w:rsid w:val="009165F5"/>
    <w:rsid w:val="009166E9"/>
    <w:rsid w:val="00917070"/>
    <w:rsid w:val="00917154"/>
    <w:rsid w:val="009175E5"/>
    <w:rsid w:val="00917742"/>
    <w:rsid w:val="00917958"/>
    <w:rsid w:val="00920E02"/>
    <w:rsid w:val="00921146"/>
    <w:rsid w:val="00921371"/>
    <w:rsid w:val="00921466"/>
    <w:rsid w:val="00921590"/>
    <w:rsid w:val="00921DD4"/>
    <w:rsid w:val="00921F54"/>
    <w:rsid w:val="009222DE"/>
    <w:rsid w:val="0092236B"/>
    <w:rsid w:val="009225B7"/>
    <w:rsid w:val="009228B2"/>
    <w:rsid w:val="00922904"/>
    <w:rsid w:val="00922CE1"/>
    <w:rsid w:val="00922DF2"/>
    <w:rsid w:val="00923944"/>
    <w:rsid w:val="00923ECC"/>
    <w:rsid w:val="00923FBC"/>
    <w:rsid w:val="00924048"/>
    <w:rsid w:val="0092407D"/>
    <w:rsid w:val="00924388"/>
    <w:rsid w:val="00924439"/>
    <w:rsid w:val="0092454B"/>
    <w:rsid w:val="00924794"/>
    <w:rsid w:val="00924A0E"/>
    <w:rsid w:val="00924A55"/>
    <w:rsid w:val="00924DD7"/>
    <w:rsid w:val="00925118"/>
    <w:rsid w:val="00925289"/>
    <w:rsid w:val="0092587B"/>
    <w:rsid w:val="00925A3C"/>
    <w:rsid w:val="00925BAC"/>
    <w:rsid w:val="00925FC2"/>
    <w:rsid w:val="00926615"/>
    <w:rsid w:val="009268D2"/>
    <w:rsid w:val="00926A07"/>
    <w:rsid w:val="00926DC5"/>
    <w:rsid w:val="00926EA5"/>
    <w:rsid w:val="009273CB"/>
    <w:rsid w:val="0092760D"/>
    <w:rsid w:val="009278E0"/>
    <w:rsid w:val="00927DD5"/>
    <w:rsid w:val="0093010B"/>
    <w:rsid w:val="0093012D"/>
    <w:rsid w:val="0093040E"/>
    <w:rsid w:val="009306D6"/>
    <w:rsid w:val="00930F9C"/>
    <w:rsid w:val="0093137C"/>
    <w:rsid w:val="0093137D"/>
    <w:rsid w:val="00931400"/>
    <w:rsid w:val="0093208A"/>
    <w:rsid w:val="009321B7"/>
    <w:rsid w:val="009322C0"/>
    <w:rsid w:val="0093239C"/>
    <w:rsid w:val="009327B4"/>
    <w:rsid w:val="009329FE"/>
    <w:rsid w:val="00932BD0"/>
    <w:rsid w:val="00932D8E"/>
    <w:rsid w:val="00933195"/>
    <w:rsid w:val="009338E6"/>
    <w:rsid w:val="009339D7"/>
    <w:rsid w:val="00933C6E"/>
    <w:rsid w:val="009346DA"/>
    <w:rsid w:val="00934901"/>
    <w:rsid w:val="00934B2D"/>
    <w:rsid w:val="00934CDC"/>
    <w:rsid w:val="00934E86"/>
    <w:rsid w:val="00935351"/>
    <w:rsid w:val="009357DB"/>
    <w:rsid w:val="00935A50"/>
    <w:rsid w:val="00935F8F"/>
    <w:rsid w:val="00936BF5"/>
    <w:rsid w:val="00936E10"/>
    <w:rsid w:val="00936FD7"/>
    <w:rsid w:val="0093711F"/>
    <w:rsid w:val="00937EB5"/>
    <w:rsid w:val="00940083"/>
    <w:rsid w:val="00940212"/>
    <w:rsid w:val="0094096B"/>
    <w:rsid w:val="00941267"/>
    <w:rsid w:val="009414A8"/>
    <w:rsid w:val="00941D8A"/>
    <w:rsid w:val="009421BE"/>
    <w:rsid w:val="0094246F"/>
    <w:rsid w:val="00942D67"/>
    <w:rsid w:val="00942EB2"/>
    <w:rsid w:val="009430D4"/>
    <w:rsid w:val="0094336E"/>
    <w:rsid w:val="009439B8"/>
    <w:rsid w:val="00943DDF"/>
    <w:rsid w:val="00944009"/>
    <w:rsid w:val="009441AD"/>
    <w:rsid w:val="00944289"/>
    <w:rsid w:val="009443E9"/>
    <w:rsid w:val="009449F4"/>
    <w:rsid w:val="00944B3F"/>
    <w:rsid w:val="00944BF7"/>
    <w:rsid w:val="00944C41"/>
    <w:rsid w:val="00944C6B"/>
    <w:rsid w:val="00944CD6"/>
    <w:rsid w:val="009451B4"/>
    <w:rsid w:val="009451CC"/>
    <w:rsid w:val="00945659"/>
    <w:rsid w:val="00945868"/>
    <w:rsid w:val="0094595B"/>
    <w:rsid w:val="00945FCC"/>
    <w:rsid w:val="00946317"/>
    <w:rsid w:val="009465E6"/>
    <w:rsid w:val="00946D2D"/>
    <w:rsid w:val="00946EF8"/>
    <w:rsid w:val="009477DC"/>
    <w:rsid w:val="00947985"/>
    <w:rsid w:val="0095020A"/>
    <w:rsid w:val="00950255"/>
    <w:rsid w:val="0095033C"/>
    <w:rsid w:val="009506F5"/>
    <w:rsid w:val="0095076B"/>
    <w:rsid w:val="00950A76"/>
    <w:rsid w:val="0095162B"/>
    <w:rsid w:val="0095185A"/>
    <w:rsid w:val="009519E9"/>
    <w:rsid w:val="00951B99"/>
    <w:rsid w:val="00952041"/>
    <w:rsid w:val="00952518"/>
    <w:rsid w:val="0095264A"/>
    <w:rsid w:val="00952698"/>
    <w:rsid w:val="009528E8"/>
    <w:rsid w:val="00952CB8"/>
    <w:rsid w:val="00952F3A"/>
    <w:rsid w:val="0095338D"/>
    <w:rsid w:val="00953571"/>
    <w:rsid w:val="0095372A"/>
    <w:rsid w:val="00953EEA"/>
    <w:rsid w:val="00954067"/>
    <w:rsid w:val="009541FC"/>
    <w:rsid w:val="00954763"/>
    <w:rsid w:val="00954833"/>
    <w:rsid w:val="00954897"/>
    <w:rsid w:val="0095493D"/>
    <w:rsid w:val="00954988"/>
    <w:rsid w:val="00954B7E"/>
    <w:rsid w:val="00954CA3"/>
    <w:rsid w:val="00954E92"/>
    <w:rsid w:val="00954EE2"/>
    <w:rsid w:val="00955114"/>
    <w:rsid w:val="00955945"/>
    <w:rsid w:val="00955C1F"/>
    <w:rsid w:val="00955F38"/>
    <w:rsid w:val="00955F55"/>
    <w:rsid w:val="00955FBA"/>
    <w:rsid w:val="0095630E"/>
    <w:rsid w:val="00956731"/>
    <w:rsid w:val="009567CC"/>
    <w:rsid w:val="00956CE4"/>
    <w:rsid w:val="00956EC3"/>
    <w:rsid w:val="0095743F"/>
    <w:rsid w:val="009574CF"/>
    <w:rsid w:val="009576F6"/>
    <w:rsid w:val="00957CBE"/>
    <w:rsid w:val="009603AD"/>
    <w:rsid w:val="009605D7"/>
    <w:rsid w:val="0096061A"/>
    <w:rsid w:val="00960E46"/>
    <w:rsid w:val="009615FA"/>
    <w:rsid w:val="00961A56"/>
    <w:rsid w:val="00961A7B"/>
    <w:rsid w:val="00961D42"/>
    <w:rsid w:val="00962876"/>
    <w:rsid w:val="009629C4"/>
    <w:rsid w:val="00962BC2"/>
    <w:rsid w:val="00962F20"/>
    <w:rsid w:val="00963333"/>
    <w:rsid w:val="00963400"/>
    <w:rsid w:val="00963567"/>
    <w:rsid w:val="009638BC"/>
    <w:rsid w:val="00963B9E"/>
    <w:rsid w:val="00964570"/>
    <w:rsid w:val="0096468C"/>
    <w:rsid w:val="0096475F"/>
    <w:rsid w:val="009647EC"/>
    <w:rsid w:val="00964CD0"/>
    <w:rsid w:val="00965018"/>
    <w:rsid w:val="00965122"/>
    <w:rsid w:val="00965390"/>
    <w:rsid w:val="0096556A"/>
    <w:rsid w:val="009656B4"/>
    <w:rsid w:val="0096587E"/>
    <w:rsid w:val="0096588B"/>
    <w:rsid w:val="00965D63"/>
    <w:rsid w:val="00965E19"/>
    <w:rsid w:val="00965E59"/>
    <w:rsid w:val="0096619C"/>
    <w:rsid w:val="009661BE"/>
    <w:rsid w:val="00966812"/>
    <w:rsid w:val="00966BC3"/>
    <w:rsid w:val="00966D56"/>
    <w:rsid w:val="009678D7"/>
    <w:rsid w:val="00970A4E"/>
    <w:rsid w:val="00970BDE"/>
    <w:rsid w:val="00970CC9"/>
    <w:rsid w:val="00970F03"/>
    <w:rsid w:val="00970F19"/>
    <w:rsid w:val="00971043"/>
    <w:rsid w:val="00971506"/>
    <w:rsid w:val="009716AF"/>
    <w:rsid w:val="00971707"/>
    <w:rsid w:val="00971DCD"/>
    <w:rsid w:val="00972061"/>
    <w:rsid w:val="00972307"/>
    <w:rsid w:val="00972340"/>
    <w:rsid w:val="009723E6"/>
    <w:rsid w:val="00972702"/>
    <w:rsid w:val="009734CB"/>
    <w:rsid w:val="00973526"/>
    <w:rsid w:val="009736E7"/>
    <w:rsid w:val="00973C73"/>
    <w:rsid w:val="00973DB8"/>
    <w:rsid w:val="00973E20"/>
    <w:rsid w:val="00973F6B"/>
    <w:rsid w:val="00974159"/>
    <w:rsid w:val="0097424E"/>
    <w:rsid w:val="009743EA"/>
    <w:rsid w:val="00974965"/>
    <w:rsid w:val="009751FE"/>
    <w:rsid w:val="0097552C"/>
    <w:rsid w:val="00975D42"/>
    <w:rsid w:val="00975E35"/>
    <w:rsid w:val="00975FE7"/>
    <w:rsid w:val="0097616D"/>
    <w:rsid w:val="00976336"/>
    <w:rsid w:val="009763B9"/>
    <w:rsid w:val="00976460"/>
    <w:rsid w:val="00976901"/>
    <w:rsid w:val="009769F0"/>
    <w:rsid w:val="00976B2B"/>
    <w:rsid w:val="00976BE1"/>
    <w:rsid w:val="00976D1F"/>
    <w:rsid w:val="00976D64"/>
    <w:rsid w:val="00977A65"/>
    <w:rsid w:val="00977C2B"/>
    <w:rsid w:val="00977D36"/>
    <w:rsid w:val="009803B6"/>
    <w:rsid w:val="00980722"/>
    <w:rsid w:val="00980BE1"/>
    <w:rsid w:val="00981086"/>
    <w:rsid w:val="00981D5B"/>
    <w:rsid w:val="00982087"/>
    <w:rsid w:val="009821FF"/>
    <w:rsid w:val="009823C4"/>
    <w:rsid w:val="00982443"/>
    <w:rsid w:val="0098262D"/>
    <w:rsid w:val="00982721"/>
    <w:rsid w:val="00982939"/>
    <w:rsid w:val="009831A2"/>
    <w:rsid w:val="009832DA"/>
    <w:rsid w:val="009838EA"/>
    <w:rsid w:val="00983D16"/>
    <w:rsid w:val="00983EAF"/>
    <w:rsid w:val="00984204"/>
    <w:rsid w:val="0098422A"/>
    <w:rsid w:val="009845AF"/>
    <w:rsid w:val="009846EE"/>
    <w:rsid w:val="009849C6"/>
    <w:rsid w:val="00984D13"/>
    <w:rsid w:val="0098536A"/>
    <w:rsid w:val="00985435"/>
    <w:rsid w:val="009856BF"/>
    <w:rsid w:val="00985B35"/>
    <w:rsid w:val="00986263"/>
    <w:rsid w:val="009862B2"/>
    <w:rsid w:val="00986869"/>
    <w:rsid w:val="00986FA3"/>
    <w:rsid w:val="009874CF"/>
    <w:rsid w:val="009877EB"/>
    <w:rsid w:val="009879C3"/>
    <w:rsid w:val="00987AF8"/>
    <w:rsid w:val="00987F05"/>
    <w:rsid w:val="00987FC2"/>
    <w:rsid w:val="0099078B"/>
    <w:rsid w:val="009909A7"/>
    <w:rsid w:val="00990D7D"/>
    <w:rsid w:val="00990E86"/>
    <w:rsid w:val="0099145A"/>
    <w:rsid w:val="0099173C"/>
    <w:rsid w:val="00991C6F"/>
    <w:rsid w:val="00991D1F"/>
    <w:rsid w:val="00991DF6"/>
    <w:rsid w:val="00992215"/>
    <w:rsid w:val="0099233D"/>
    <w:rsid w:val="009923A1"/>
    <w:rsid w:val="009927DC"/>
    <w:rsid w:val="00992AC2"/>
    <w:rsid w:val="00992B18"/>
    <w:rsid w:val="00992BCC"/>
    <w:rsid w:val="00992DD5"/>
    <w:rsid w:val="00992E06"/>
    <w:rsid w:val="009930BF"/>
    <w:rsid w:val="009931E3"/>
    <w:rsid w:val="00993CB8"/>
    <w:rsid w:val="00993EF8"/>
    <w:rsid w:val="009944F6"/>
    <w:rsid w:val="00994835"/>
    <w:rsid w:val="00994900"/>
    <w:rsid w:val="00994A84"/>
    <w:rsid w:val="00994CDE"/>
    <w:rsid w:val="00994CDF"/>
    <w:rsid w:val="00995B0D"/>
    <w:rsid w:val="00995E9E"/>
    <w:rsid w:val="009962CB"/>
    <w:rsid w:val="009971AD"/>
    <w:rsid w:val="0099759B"/>
    <w:rsid w:val="0099770E"/>
    <w:rsid w:val="0099783F"/>
    <w:rsid w:val="009A0077"/>
    <w:rsid w:val="009A00F4"/>
    <w:rsid w:val="009A00F9"/>
    <w:rsid w:val="009A01FB"/>
    <w:rsid w:val="009A02F7"/>
    <w:rsid w:val="009A04D7"/>
    <w:rsid w:val="009A0B97"/>
    <w:rsid w:val="009A0D42"/>
    <w:rsid w:val="009A1239"/>
    <w:rsid w:val="009A123A"/>
    <w:rsid w:val="009A1293"/>
    <w:rsid w:val="009A17E0"/>
    <w:rsid w:val="009A237E"/>
    <w:rsid w:val="009A2496"/>
    <w:rsid w:val="009A27AB"/>
    <w:rsid w:val="009A2CC4"/>
    <w:rsid w:val="009A3342"/>
    <w:rsid w:val="009A3A79"/>
    <w:rsid w:val="009A3B64"/>
    <w:rsid w:val="009A459F"/>
    <w:rsid w:val="009A4CCA"/>
    <w:rsid w:val="009A4FBE"/>
    <w:rsid w:val="009A520A"/>
    <w:rsid w:val="009A53F6"/>
    <w:rsid w:val="009A5C18"/>
    <w:rsid w:val="009A5EF3"/>
    <w:rsid w:val="009A68AA"/>
    <w:rsid w:val="009A69B0"/>
    <w:rsid w:val="009A69E7"/>
    <w:rsid w:val="009A6E76"/>
    <w:rsid w:val="009A74F3"/>
    <w:rsid w:val="009A758F"/>
    <w:rsid w:val="009A7673"/>
    <w:rsid w:val="009A78CA"/>
    <w:rsid w:val="009A7A2E"/>
    <w:rsid w:val="009A7B10"/>
    <w:rsid w:val="009A7CB2"/>
    <w:rsid w:val="009A7E03"/>
    <w:rsid w:val="009B08E0"/>
    <w:rsid w:val="009B08E2"/>
    <w:rsid w:val="009B0A5B"/>
    <w:rsid w:val="009B183D"/>
    <w:rsid w:val="009B1AD4"/>
    <w:rsid w:val="009B1CF7"/>
    <w:rsid w:val="009B1EC2"/>
    <w:rsid w:val="009B22BC"/>
    <w:rsid w:val="009B2314"/>
    <w:rsid w:val="009B24A1"/>
    <w:rsid w:val="009B24B9"/>
    <w:rsid w:val="009B28ED"/>
    <w:rsid w:val="009B2BAC"/>
    <w:rsid w:val="009B2BCB"/>
    <w:rsid w:val="009B2BEE"/>
    <w:rsid w:val="009B2DBF"/>
    <w:rsid w:val="009B2DD9"/>
    <w:rsid w:val="009B31CE"/>
    <w:rsid w:val="009B3705"/>
    <w:rsid w:val="009B3931"/>
    <w:rsid w:val="009B3C54"/>
    <w:rsid w:val="009B3FC9"/>
    <w:rsid w:val="009B420E"/>
    <w:rsid w:val="009B452D"/>
    <w:rsid w:val="009B4663"/>
    <w:rsid w:val="009B48D6"/>
    <w:rsid w:val="009B4A6F"/>
    <w:rsid w:val="009B4DE6"/>
    <w:rsid w:val="009B4E10"/>
    <w:rsid w:val="009B4FB5"/>
    <w:rsid w:val="009B50B6"/>
    <w:rsid w:val="009B51B9"/>
    <w:rsid w:val="009B529C"/>
    <w:rsid w:val="009B5425"/>
    <w:rsid w:val="009B542B"/>
    <w:rsid w:val="009B5674"/>
    <w:rsid w:val="009B591E"/>
    <w:rsid w:val="009B5C72"/>
    <w:rsid w:val="009B5CE1"/>
    <w:rsid w:val="009B5F6B"/>
    <w:rsid w:val="009B66BF"/>
    <w:rsid w:val="009B6724"/>
    <w:rsid w:val="009B67FA"/>
    <w:rsid w:val="009B6D08"/>
    <w:rsid w:val="009B6EA0"/>
    <w:rsid w:val="009B6F09"/>
    <w:rsid w:val="009B7177"/>
    <w:rsid w:val="009B73E7"/>
    <w:rsid w:val="009B7475"/>
    <w:rsid w:val="009B752E"/>
    <w:rsid w:val="009B77F5"/>
    <w:rsid w:val="009C002E"/>
    <w:rsid w:val="009C022D"/>
    <w:rsid w:val="009C0406"/>
    <w:rsid w:val="009C06BE"/>
    <w:rsid w:val="009C087E"/>
    <w:rsid w:val="009C08FA"/>
    <w:rsid w:val="009C0B3A"/>
    <w:rsid w:val="009C0FED"/>
    <w:rsid w:val="009C12E2"/>
    <w:rsid w:val="009C13F5"/>
    <w:rsid w:val="009C159A"/>
    <w:rsid w:val="009C1778"/>
    <w:rsid w:val="009C1995"/>
    <w:rsid w:val="009C1A9C"/>
    <w:rsid w:val="009C1BA8"/>
    <w:rsid w:val="009C1F27"/>
    <w:rsid w:val="009C23C3"/>
    <w:rsid w:val="009C266A"/>
    <w:rsid w:val="009C2757"/>
    <w:rsid w:val="009C2A2F"/>
    <w:rsid w:val="009C2AD6"/>
    <w:rsid w:val="009C2E38"/>
    <w:rsid w:val="009C312D"/>
    <w:rsid w:val="009C3437"/>
    <w:rsid w:val="009C3457"/>
    <w:rsid w:val="009C37C9"/>
    <w:rsid w:val="009C3ABD"/>
    <w:rsid w:val="009C3ADB"/>
    <w:rsid w:val="009C41B8"/>
    <w:rsid w:val="009C41EA"/>
    <w:rsid w:val="009C43AF"/>
    <w:rsid w:val="009C4D40"/>
    <w:rsid w:val="009C4EC2"/>
    <w:rsid w:val="009C5033"/>
    <w:rsid w:val="009C5A24"/>
    <w:rsid w:val="009C5EB8"/>
    <w:rsid w:val="009C5EBE"/>
    <w:rsid w:val="009C5FB0"/>
    <w:rsid w:val="009C606F"/>
    <w:rsid w:val="009C65FC"/>
    <w:rsid w:val="009C6902"/>
    <w:rsid w:val="009C6FA5"/>
    <w:rsid w:val="009C7848"/>
    <w:rsid w:val="009C7A5F"/>
    <w:rsid w:val="009C7C85"/>
    <w:rsid w:val="009C7E2B"/>
    <w:rsid w:val="009D00B2"/>
    <w:rsid w:val="009D0224"/>
    <w:rsid w:val="009D02E2"/>
    <w:rsid w:val="009D0970"/>
    <w:rsid w:val="009D118C"/>
    <w:rsid w:val="009D1351"/>
    <w:rsid w:val="009D17E8"/>
    <w:rsid w:val="009D1D89"/>
    <w:rsid w:val="009D2296"/>
    <w:rsid w:val="009D237A"/>
    <w:rsid w:val="009D237B"/>
    <w:rsid w:val="009D24A7"/>
    <w:rsid w:val="009D2553"/>
    <w:rsid w:val="009D264C"/>
    <w:rsid w:val="009D2916"/>
    <w:rsid w:val="009D299A"/>
    <w:rsid w:val="009D2A8C"/>
    <w:rsid w:val="009D2B9A"/>
    <w:rsid w:val="009D30B0"/>
    <w:rsid w:val="009D312D"/>
    <w:rsid w:val="009D380B"/>
    <w:rsid w:val="009D3D32"/>
    <w:rsid w:val="009D3F79"/>
    <w:rsid w:val="009D4006"/>
    <w:rsid w:val="009D4053"/>
    <w:rsid w:val="009D40F2"/>
    <w:rsid w:val="009D42C2"/>
    <w:rsid w:val="009D4422"/>
    <w:rsid w:val="009D4445"/>
    <w:rsid w:val="009D4589"/>
    <w:rsid w:val="009D4BE0"/>
    <w:rsid w:val="009D4C9C"/>
    <w:rsid w:val="009D4D67"/>
    <w:rsid w:val="009D4D8F"/>
    <w:rsid w:val="009D5277"/>
    <w:rsid w:val="009D5322"/>
    <w:rsid w:val="009D54D2"/>
    <w:rsid w:val="009D5524"/>
    <w:rsid w:val="009D55EF"/>
    <w:rsid w:val="009D5A32"/>
    <w:rsid w:val="009D5B69"/>
    <w:rsid w:val="009D5BF2"/>
    <w:rsid w:val="009D5C7B"/>
    <w:rsid w:val="009D5F08"/>
    <w:rsid w:val="009D5F29"/>
    <w:rsid w:val="009D6397"/>
    <w:rsid w:val="009D6692"/>
    <w:rsid w:val="009D697E"/>
    <w:rsid w:val="009D6BE6"/>
    <w:rsid w:val="009D6C02"/>
    <w:rsid w:val="009D714D"/>
    <w:rsid w:val="009D714E"/>
    <w:rsid w:val="009D74BA"/>
    <w:rsid w:val="009D7AB3"/>
    <w:rsid w:val="009D7B19"/>
    <w:rsid w:val="009D7C95"/>
    <w:rsid w:val="009D7EFD"/>
    <w:rsid w:val="009E02F1"/>
    <w:rsid w:val="009E0444"/>
    <w:rsid w:val="009E05F9"/>
    <w:rsid w:val="009E064E"/>
    <w:rsid w:val="009E073F"/>
    <w:rsid w:val="009E0FA7"/>
    <w:rsid w:val="009E1200"/>
    <w:rsid w:val="009E1600"/>
    <w:rsid w:val="009E1BFE"/>
    <w:rsid w:val="009E1F13"/>
    <w:rsid w:val="009E218A"/>
    <w:rsid w:val="009E230D"/>
    <w:rsid w:val="009E2800"/>
    <w:rsid w:val="009E2E00"/>
    <w:rsid w:val="009E2E12"/>
    <w:rsid w:val="009E2F60"/>
    <w:rsid w:val="009E3023"/>
    <w:rsid w:val="009E32C6"/>
    <w:rsid w:val="009E337B"/>
    <w:rsid w:val="009E33D3"/>
    <w:rsid w:val="009E343A"/>
    <w:rsid w:val="009E36AD"/>
    <w:rsid w:val="009E3BC6"/>
    <w:rsid w:val="009E3C05"/>
    <w:rsid w:val="009E421F"/>
    <w:rsid w:val="009E48E1"/>
    <w:rsid w:val="009E4901"/>
    <w:rsid w:val="009E50D0"/>
    <w:rsid w:val="009E582D"/>
    <w:rsid w:val="009E5998"/>
    <w:rsid w:val="009E5DA0"/>
    <w:rsid w:val="009E62E8"/>
    <w:rsid w:val="009E6506"/>
    <w:rsid w:val="009E6561"/>
    <w:rsid w:val="009E65F6"/>
    <w:rsid w:val="009E6D5F"/>
    <w:rsid w:val="009E710B"/>
    <w:rsid w:val="009E7289"/>
    <w:rsid w:val="009E7711"/>
    <w:rsid w:val="009E7976"/>
    <w:rsid w:val="009E7F65"/>
    <w:rsid w:val="009F0108"/>
    <w:rsid w:val="009F03D1"/>
    <w:rsid w:val="009F0D8C"/>
    <w:rsid w:val="009F11A1"/>
    <w:rsid w:val="009F12B2"/>
    <w:rsid w:val="009F12EB"/>
    <w:rsid w:val="009F163B"/>
    <w:rsid w:val="009F170B"/>
    <w:rsid w:val="009F187F"/>
    <w:rsid w:val="009F1ABC"/>
    <w:rsid w:val="009F1CA9"/>
    <w:rsid w:val="009F1F73"/>
    <w:rsid w:val="009F208B"/>
    <w:rsid w:val="009F21A3"/>
    <w:rsid w:val="009F2431"/>
    <w:rsid w:val="009F25AC"/>
    <w:rsid w:val="009F2A9C"/>
    <w:rsid w:val="009F2BD4"/>
    <w:rsid w:val="009F2BEA"/>
    <w:rsid w:val="009F2C1D"/>
    <w:rsid w:val="009F2FE8"/>
    <w:rsid w:val="009F3327"/>
    <w:rsid w:val="009F34E1"/>
    <w:rsid w:val="009F371B"/>
    <w:rsid w:val="009F39D0"/>
    <w:rsid w:val="009F4BC4"/>
    <w:rsid w:val="009F508D"/>
    <w:rsid w:val="009F512E"/>
    <w:rsid w:val="009F527A"/>
    <w:rsid w:val="009F561E"/>
    <w:rsid w:val="009F604D"/>
    <w:rsid w:val="009F626F"/>
    <w:rsid w:val="009F62B1"/>
    <w:rsid w:val="009F651B"/>
    <w:rsid w:val="009F655A"/>
    <w:rsid w:val="009F680B"/>
    <w:rsid w:val="009F7533"/>
    <w:rsid w:val="009F75D6"/>
    <w:rsid w:val="009F7960"/>
    <w:rsid w:val="009F7A68"/>
    <w:rsid w:val="009F7BDE"/>
    <w:rsid w:val="009F7F00"/>
    <w:rsid w:val="00A00085"/>
    <w:rsid w:val="00A007DE"/>
    <w:rsid w:val="00A0085B"/>
    <w:rsid w:val="00A008C3"/>
    <w:rsid w:val="00A00A6D"/>
    <w:rsid w:val="00A00B6B"/>
    <w:rsid w:val="00A00F8B"/>
    <w:rsid w:val="00A01345"/>
    <w:rsid w:val="00A014BC"/>
    <w:rsid w:val="00A01568"/>
    <w:rsid w:val="00A01735"/>
    <w:rsid w:val="00A01D04"/>
    <w:rsid w:val="00A02260"/>
    <w:rsid w:val="00A02593"/>
    <w:rsid w:val="00A026FF"/>
    <w:rsid w:val="00A027FB"/>
    <w:rsid w:val="00A028CA"/>
    <w:rsid w:val="00A031AA"/>
    <w:rsid w:val="00A03998"/>
    <w:rsid w:val="00A03B1B"/>
    <w:rsid w:val="00A03BB4"/>
    <w:rsid w:val="00A03E54"/>
    <w:rsid w:val="00A03FDA"/>
    <w:rsid w:val="00A0405C"/>
    <w:rsid w:val="00A04842"/>
    <w:rsid w:val="00A04C50"/>
    <w:rsid w:val="00A04F0E"/>
    <w:rsid w:val="00A051C1"/>
    <w:rsid w:val="00A051C5"/>
    <w:rsid w:val="00A05345"/>
    <w:rsid w:val="00A05404"/>
    <w:rsid w:val="00A062FE"/>
    <w:rsid w:val="00A063E3"/>
    <w:rsid w:val="00A0665F"/>
    <w:rsid w:val="00A06679"/>
    <w:rsid w:val="00A0693C"/>
    <w:rsid w:val="00A06F58"/>
    <w:rsid w:val="00A071E7"/>
    <w:rsid w:val="00A0724D"/>
    <w:rsid w:val="00A072D8"/>
    <w:rsid w:val="00A07468"/>
    <w:rsid w:val="00A074DE"/>
    <w:rsid w:val="00A079D8"/>
    <w:rsid w:val="00A10099"/>
    <w:rsid w:val="00A100A3"/>
    <w:rsid w:val="00A106C6"/>
    <w:rsid w:val="00A10D0E"/>
    <w:rsid w:val="00A10D70"/>
    <w:rsid w:val="00A10DBF"/>
    <w:rsid w:val="00A1113D"/>
    <w:rsid w:val="00A11484"/>
    <w:rsid w:val="00A1148B"/>
    <w:rsid w:val="00A115C7"/>
    <w:rsid w:val="00A1173D"/>
    <w:rsid w:val="00A11EED"/>
    <w:rsid w:val="00A1201C"/>
    <w:rsid w:val="00A123E2"/>
    <w:rsid w:val="00A1265B"/>
    <w:rsid w:val="00A1293D"/>
    <w:rsid w:val="00A129B6"/>
    <w:rsid w:val="00A12D38"/>
    <w:rsid w:val="00A12E72"/>
    <w:rsid w:val="00A12FA5"/>
    <w:rsid w:val="00A12FF8"/>
    <w:rsid w:val="00A1325A"/>
    <w:rsid w:val="00A135E8"/>
    <w:rsid w:val="00A13742"/>
    <w:rsid w:val="00A13A63"/>
    <w:rsid w:val="00A13C5F"/>
    <w:rsid w:val="00A13E6E"/>
    <w:rsid w:val="00A13F97"/>
    <w:rsid w:val="00A14A47"/>
    <w:rsid w:val="00A14BDC"/>
    <w:rsid w:val="00A14D68"/>
    <w:rsid w:val="00A14FCD"/>
    <w:rsid w:val="00A15069"/>
    <w:rsid w:val="00A151E6"/>
    <w:rsid w:val="00A1576D"/>
    <w:rsid w:val="00A15779"/>
    <w:rsid w:val="00A159B8"/>
    <w:rsid w:val="00A15F2B"/>
    <w:rsid w:val="00A15F6A"/>
    <w:rsid w:val="00A16070"/>
    <w:rsid w:val="00A16143"/>
    <w:rsid w:val="00A163FF"/>
    <w:rsid w:val="00A169BB"/>
    <w:rsid w:val="00A16DAA"/>
    <w:rsid w:val="00A16FF2"/>
    <w:rsid w:val="00A17759"/>
    <w:rsid w:val="00A17AC1"/>
    <w:rsid w:val="00A17BC3"/>
    <w:rsid w:val="00A17FA0"/>
    <w:rsid w:val="00A20042"/>
    <w:rsid w:val="00A204BB"/>
    <w:rsid w:val="00A2053E"/>
    <w:rsid w:val="00A20651"/>
    <w:rsid w:val="00A2069C"/>
    <w:rsid w:val="00A20931"/>
    <w:rsid w:val="00A20940"/>
    <w:rsid w:val="00A20A9C"/>
    <w:rsid w:val="00A20D59"/>
    <w:rsid w:val="00A21411"/>
    <w:rsid w:val="00A2145B"/>
    <w:rsid w:val="00A215BF"/>
    <w:rsid w:val="00A21DA2"/>
    <w:rsid w:val="00A21DD1"/>
    <w:rsid w:val="00A2208A"/>
    <w:rsid w:val="00A226AD"/>
    <w:rsid w:val="00A2287D"/>
    <w:rsid w:val="00A22B15"/>
    <w:rsid w:val="00A2379D"/>
    <w:rsid w:val="00A23A3D"/>
    <w:rsid w:val="00A23A72"/>
    <w:rsid w:val="00A23A9A"/>
    <w:rsid w:val="00A2403F"/>
    <w:rsid w:val="00A2424E"/>
    <w:rsid w:val="00A246EE"/>
    <w:rsid w:val="00A249D9"/>
    <w:rsid w:val="00A24C23"/>
    <w:rsid w:val="00A24C74"/>
    <w:rsid w:val="00A24DF3"/>
    <w:rsid w:val="00A25198"/>
    <w:rsid w:val="00A251E7"/>
    <w:rsid w:val="00A25EF4"/>
    <w:rsid w:val="00A2637A"/>
    <w:rsid w:val="00A2669D"/>
    <w:rsid w:val="00A26DC9"/>
    <w:rsid w:val="00A2703F"/>
    <w:rsid w:val="00A27058"/>
    <w:rsid w:val="00A2713C"/>
    <w:rsid w:val="00A272CD"/>
    <w:rsid w:val="00A275AE"/>
    <w:rsid w:val="00A275FD"/>
    <w:rsid w:val="00A276B0"/>
    <w:rsid w:val="00A27D47"/>
    <w:rsid w:val="00A302D6"/>
    <w:rsid w:val="00A307D0"/>
    <w:rsid w:val="00A30A0A"/>
    <w:rsid w:val="00A30E95"/>
    <w:rsid w:val="00A3107A"/>
    <w:rsid w:val="00A310CC"/>
    <w:rsid w:val="00A31110"/>
    <w:rsid w:val="00A316D6"/>
    <w:rsid w:val="00A31780"/>
    <w:rsid w:val="00A31A34"/>
    <w:rsid w:val="00A323CA"/>
    <w:rsid w:val="00A32574"/>
    <w:rsid w:val="00A32AE1"/>
    <w:rsid w:val="00A32C06"/>
    <w:rsid w:val="00A32C1D"/>
    <w:rsid w:val="00A32D41"/>
    <w:rsid w:val="00A331DB"/>
    <w:rsid w:val="00A336E5"/>
    <w:rsid w:val="00A336E6"/>
    <w:rsid w:val="00A338E0"/>
    <w:rsid w:val="00A33ABB"/>
    <w:rsid w:val="00A33EBC"/>
    <w:rsid w:val="00A341A2"/>
    <w:rsid w:val="00A34387"/>
    <w:rsid w:val="00A343A7"/>
    <w:rsid w:val="00A34469"/>
    <w:rsid w:val="00A34A9A"/>
    <w:rsid w:val="00A34BAF"/>
    <w:rsid w:val="00A34F1B"/>
    <w:rsid w:val="00A35120"/>
    <w:rsid w:val="00A3531B"/>
    <w:rsid w:val="00A3537A"/>
    <w:rsid w:val="00A354C0"/>
    <w:rsid w:val="00A35B34"/>
    <w:rsid w:val="00A35C81"/>
    <w:rsid w:val="00A35FEF"/>
    <w:rsid w:val="00A36614"/>
    <w:rsid w:val="00A367C0"/>
    <w:rsid w:val="00A369E4"/>
    <w:rsid w:val="00A36BC5"/>
    <w:rsid w:val="00A36D10"/>
    <w:rsid w:val="00A36EE4"/>
    <w:rsid w:val="00A36EE8"/>
    <w:rsid w:val="00A379DA"/>
    <w:rsid w:val="00A37CD9"/>
    <w:rsid w:val="00A40294"/>
    <w:rsid w:val="00A40533"/>
    <w:rsid w:val="00A4100F"/>
    <w:rsid w:val="00A41035"/>
    <w:rsid w:val="00A4131D"/>
    <w:rsid w:val="00A4150D"/>
    <w:rsid w:val="00A4193A"/>
    <w:rsid w:val="00A41A7E"/>
    <w:rsid w:val="00A41EF0"/>
    <w:rsid w:val="00A4262C"/>
    <w:rsid w:val="00A427C1"/>
    <w:rsid w:val="00A42847"/>
    <w:rsid w:val="00A4294A"/>
    <w:rsid w:val="00A42AE3"/>
    <w:rsid w:val="00A4303E"/>
    <w:rsid w:val="00A43249"/>
    <w:rsid w:val="00A43281"/>
    <w:rsid w:val="00A434DF"/>
    <w:rsid w:val="00A4369E"/>
    <w:rsid w:val="00A4391E"/>
    <w:rsid w:val="00A44111"/>
    <w:rsid w:val="00A441B2"/>
    <w:rsid w:val="00A44598"/>
    <w:rsid w:val="00A445A8"/>
    <w:rsid w:val="00A44700"/>
    <w:rsid w:val="00A44930"/>
    <w:rsid w:val="00A44F5E"/>
    <w:rsid w:val="00A453C9"/>
    <w:rsid w:val="00A45476"/>
    <w:rsid w:val="00A455B6"/>
    <w:rsid w:val="00A456B6"/>
    <w:rsid w:val="00A4589B"/>
    <w:rsid w:val="00A47103"/>
    <w:rsid w:val="00A474AC"/>
    <w:rsid w:val="00A477E1"/>
    <w:rsid w:val="00A47CB9"/>
    <w:rsid w:val="00A47CF3"/>
    <w:rsid w:val="00A500B8"/>
    <w:rsid w:val="00A502CB"/>
    <w:rsid w:val="00A50515"/>
    <w:rsid w:val="00A5098F"/>
    <w:rsid w:val="00A50A0E"/>
    <w:rsid w:val="00A50B0F"/>
    <w:rsid w:val="00A50C23"/>
    <w:rsid w:val="00A50F20"/>
    <w:rsid w:val="00A51011"/>
    <w:rsid w:val="00A510B2"/>
    <w:rsid w:val="00A5114D"/>
    <w:rsid w:val="00A51289"/>
    <w:rsid w:val="00A5138B"/>
    <w:rsid w:val="00A51939"/>
    <w:rsid w:val="00A51ADD"/>
    <w:rsid w:val="00A51B36"/>
    <w:rsid w:val="00A5204B"/>
    <w:rsid w:val="00A5225A"/>
    <w:rsid w:val="00A524BF"/>
    <w:rsid w:val="00A5266E"/>
    <w:rsid w:val="00A52945"/>
    <w:rsid w:val="00A53282"/>
    <w:rsid w:val="00A534B8"/>
    <w:rsid w:val="00A5354E"/>
    <w:rsid w:val="00A53B5B"/>
    <w:rsid w:val="00A53BCA"/>
    <w:rsid w:val="00A53F2C"/>
    <w:rsid w:val="00A541DC"/>
    <w:rsid w:val="00A54385"/>
    <w:rsid w:val="00A5441C"/>
    <w:rsid w:val="00A54790"/>
    <w:rsid w:val="00A55160"/>
    <w:rsid w:val="00A55308"/>
    <w:rsid w:val="00A5550C"/>
    <w:rsid w:val="00A5598C"/>
    <w:rsid w:val="00A55DCA"/>
    <w:rsid w:val="00A56414"/>
    <w:rsid w:val="00A56521"/>
    <w:rsid w:val="00A56658"/>
    <w:rsid w:val="00A56670"/>
    <w:rsid w:val="00A56DC9"/>
    <w:rsid w:val="00A56F0B"/>
    <w:rsid w:val="00A5743C"/>
    <w:rsid w:val="00A5797E"/>
    <w:rsid w:val="00A57CEC"/>
    <w:rsid w:val="00A57D9D"/>
    <w:rsid w:val="00A57FCD"/>
    <w:rsid w:val="00A57FD0"/>
    <w:rsid w:val="00A60627"/>
    <w:rsid w:val="00A6091E"/>
    <w:rsid w:val="00A610A8"/>
    <w:rsid w:val="00A619D0"/>
    <w:rsid w:val="00A61CF2"/>
    <w:rsid w:val="00A61F07"/>
    <w:rsid w:val="00A6244D"/>
    <w:rsid w:val="00A624C8"/>
    <w:rsid w:val="00A62936"/>
    <w:rsid w:val="00A6346B"/>
    <w:rsid w:val="00A6360B"/>
    <w:rsid w:val="00A639FA"/>
    <w:rsid w:val="00A63AE9"/>
    <w:rsid w:val="00A63D9A"/>
    <w:rsid w:val="00A643CA"/>
    <w:rsid w:val="00A649B8"/>
    <w:rsid w:val="00A64D95"/>
    <w:rsid w:val="00A64F16"/>
    <w:rsid w:val="00A65033"/>
    <w:rsid w:val="00A65097"/>
    <w:rsid w:val="00A6510C"/>
    <w:rsid w:val="00A65827"/>
    <w:rsid w:val="00A659B7"/>
    <w:rsid w:val="00A65CA0"/>
    <w:rsid w:val="00A65D07"/>
    <w:rsid w:val="00A6610B"/>
    <w:rsid w:val="00A66207"/>
    <w:rsid w:val="00A66BC6"/>
    <w:rsid w:val="00A66C11"/>
    <w:rsid w:val="00A6704F"/>
    <w:rsid w:val="00A672A8"/>
    <w:rsid w:val="00A67A8F"/>
    <w:rsid w:val="00A67BFF"/>
    <w:rsid w:val="00A67FC8"/>
    <w:rsid w:val="00A70155"/>
    <w:rsid w:val="00A701A8"/>
    <w:rsid w:val="00A701D4"/>
    <w:rsid w:val="00A70926"/>
    <w:rsid w:val="00A71327"/>
    <w:rsid w:val="00A7144F"/>
    <w:rsid w:val="00A71885"/>
    <w:rsid w:val="00A719C8"/>
    <w:rsid w:val="00A72052"/>
    <w:rsid w:val="00A7269B"/>
    <w:rsid w:val="00A72738"/>
    <w:rsid w:val="00A72960"/>
    <w:rsid w:val="00A72D98"/>
    <w:rsid w:val="00A72F59"/>
    <w:rsid w:val="00A73160"/>
    <w:rsid w:val="00A734BF"/>
    <w:rsid w:val="00A73619"/>
    <w:rsid w:val="00A73FA5"/>
    <w:rsid w:val="00A74365"/>
    <w:rsid w:val="00A74459"/>
    <w:rsid w:val="00A74799"/>
    <w:rsid w:val="00A74801"/>
    <w:rsid w:val="00A74933"/>
    <w:rsid w:val="00A749AD"/>
    <w:rsid w:val="00A74C45"/>
    <w:rsid w:val="00A74E12"/>
    <w:rsid w:val="00A75723"/>
    <w:rsid w:val="00A758FD"/>
    <w:rsid w:val="00A7596A"/>
    <w:rsid w:val="00A75B2F"/>
    <w:rsid w:val="00A760D5"/>
    <w:rsid w:val="00A76505"/>
    <w:rsid w:val="00A76AD1"/>
    <w:rsid w:val="00A76C62"/>
    <w:rsid w:val="00A76DB1"/>
    <w:rsid w:val="00A77543"/>
    <w:rsid w:val="00A77746"/>
    <w:rsid w:val="00A77A07"/>
    <w:rsid w:val="00A77A1D"/>
    <w:rsid w:val="00A77BF4"/>
    <w:rsid w:val="00A77D4A"/>
    <w:rsid w:val="00A77D58"/>
    <w:rsid w:val="00A80443"/>
    <w:rsid w:val="00A804D2"/>
    <w:rsid w:val="00A8058D"/>
    <w:rsid w:val="00A805A0"/>
    <w:rsid w:val="00A80664"/>
    <w:rsid w:val="00A808EB"/>
    <w:rsid w:val="00A8090A"/>
    <w:rsid w:val="00A80F12"/>
    <w:rsid w:val="00A814FB"/>
    <w:rsid w:val="00A8180D"/>
    <w:rsid w:val="00A819AA"/>
    <w:rsid w:val="00A819D2"/>
    <w:rsid w:val="00A81BC6"/>
    <w:rsid w:val="00A81CB0"/>
    <w:rsid w:val="00A81D78"/>
    <w:rsid w:val="00A81F45"/>
    <w:rsid w:val="00A8216D"/>
    <w:rsid w:val="00A826F3"/>
    <w:rsid w:val="00A8281B"/>
    <w:rsid w:val="00A82E25"/>
    <w:rsid w:val="00A83428"/>
    <w:rsid w:val="00A83875"/>
    <w:rsid w:val="00A83D39"/>
    <w:rsid w:val="00A83EC8"/>
    <w:rsid w:val="00A83EE4"/>
    <w:rsid w:val="00A8405C"/>
    <w:rsid w:val="00A8438A"/>
    <w:rsid w:val="00A847F5"/>
    <w:rsid w:val="00A849F9"/>
    <w:rsid w:val="00A85323"/>
    <w:rsid w:val="00A853B1"/>
    <w:rsid w:val="00A853D3"/>
    <w:rsid w:val="00A85477"/>
    <w:rsid w:val="00A85707"/>
    <w:rsid w:val="00A85DAC"/>
    <w:rsid w:val="00A862A8"/>
    <w:rsid w:val="00A862F5"/>
    <w:rsid w:val="00A863C1"/>
    <w:rsid w:val="00A864F2"/>
    <w:rsid w:val="00A869FA"/>
    <w:rsid w:val="00A86E1E"/>
    <w:rsid w:val="00A87195"/>
    <w:rsid w:val="00A873FE"/>
    <w:rsid w:val="00A87CC8"/>
    <w:rsid w:val="00A87F71"/>
    <w:rsid w:val="00A90032"/>
    <w:rsid w:val="00A90102"/>
    <w:rsid w:val="00A9017F"/>
    <w:rsid w:val="00A90848"/>
    <w:rsid w:val="00A908FF"/>
    <w:rsid w:val="00A909F1"/>
    <w:rsid w:val="00A918E1"/>
    <w:rsid w:val="00A91FA7"/>
    <w:rsid w:val="00A92265"/>
    <w:rsid w:val="00A9272E"/>
    <w:rsid w:val="00A93004"/>
    <w:rsid w:val="00A930B1"/>
    <w:rsid w:val="00A9312B"/>
    <w:rsid w:val="00A937B7"/>
    <w:rsid w:val="00A940B3"/>
    <w:rsid w:val="00A9438C"/>
    <w:rsid w:val="00A94646"/>
    <w:rsid w:val="00A946E9"/>
    <w:rsid w:val="00A94874"/>
    <w:rsid w:val="00A94EFD"/>
    <w:rsid w:val="00A94FC3"/>
    <w:rsid w:val="00A95B2B"/>
    <w:rsid w:val="00A95D3C"/>
    <w:rsid w:val="00A964AC"/>
    <w:rsid w:val="00A96B07"/>
    <w:rsid w:val="00A96EF9"/>
    <w:rsid w:val="00A96F18"/>
    <w:rsid w:val="00A9702D"/>
    <w:rsid w:val="00A976A0"/>
    <w:rsid w:val="00A97790"/>
    <w:rsid w:val="00A978B1"/>
    <w:rsid w:val="00A97935"/>
    <w:rsid w:val="00A97CC8"/>
    <w:rsid w:val="00AA00C9"/>
    <w:rsid w:val="00AA01B3"/>
    <w:rsid w:val="00AA0432"/>
    <w:rsid w:val="00AA0798"/>
    <w:rsid w:val="00AA0A77"/>
    <w:rsid w:val="00AA0A9F"/>
    <w:rsid w:val="00AA1072"/>
    <w:rsid w:val="00AA18BE"/>
    <w:rsid w:val="00AA1A50"/>
    <w:rsid w:val="00AA1AF4"/>
    <w:rsid w:val="00AA1DBA"/>
    <w:rsid w:val="00AA20D7"/>
    <w:rsid w:val="00AA2149"/>
    <w:rsid w:val="00AA2393"/>
    <w:rsid w:val="00AA26D1"/>
    <w:rsid w:val="00AA31CE"/>
    <w:rsid w:val="00AA334F"/>
    <w:rsid w:val="00AA3465"/>
    <w:rsid w:val="00AA358C"/>
    <w:rsid w:val="00AA36AE"/>
    <w:rsid w:val="00AA371C"/>
    <w:rsid w:val="00AA38F0"/>
    <w:rsid w:val="00AA3976"/>
    <w:rsid w:val="00AA3B74"/>
    <w:rsid w:val="00AA3DF9"/>
    <w:rsid w:val="00AA3E28"/>
    <w:rsid w:val="00AA3ED4"/>
    <w:rsid w:val="00AA42C2"/>
    <w:rsid w:val="00AA45B6"/>
    <w:rsid w:val="00AA478E"/>
    <w:rsid w:val="00AA4B28"/>
    <w:rsid w:val="00AA5198"/>
    <w:rsid w:val="00AA5348"/>
    <w:rsid w:val="00AA588B"/>
    <w:rsid w:val="00AA58ED"/>
    <w:rsid w:val="00AA59BD"/>
    <w:rsid w:val="00AA5CF7"/>
    <w:rsid w:val="00AA5F4F"/>
    <w:rsid w:val="00AA6372"/>
    <w:rsid w:val="00AA6570"/>
    <w:rsid w:val="00AA6706"/>
    <w:rsid w:val="00AA69F0"/>
    <w:rsid w:val="00AA6ABB"/>
    <w:rsid w:val="00AA6E45"/>
    <w:rsid w:val="00AA6EC5"/>
    <w:rsid w:val="00AA7409"/>
    <w:rsid w:val="00AA7732"/>
    <w:rsid w:val="00AA7FD9"/>
    <w:rsid w:val="00AB0046"/>
    <w:rsid w:val="00AB0072"/>
    <w:rsid w:val="00AB0112"/>
    <w:rsid w:val="00AB07C9"/>
    <w:rsid w:val="00AB1114"/>
    <w:rsid w:val="00AB12DB"/>
    <w:rsid w:val="00AB1444"/>
    <w:rsid w:val="00AB18CF"/>
    <w:rsid w:val="00AB1D41"/>
    <w:rsid w:val="00AB1DEE"/>
    <w:rsid w:val="00AB3143"/>
    <w:rsid w:val="00AB35E1"/>
    <w:rsid w:val="00AB35ED"/>
    <w:rsid w:val="00AB3907"/>
    <w:rsid w:val="00AB3D60"/>
    <w:rsid w:val="00AB3FB8"/>
    <w:rsid w:val="00AB4B23"/>
    <w:rsid w:val="00AB4DF0"/>
    <w:rsid w:val="00AB50EF"/>
    <w:rsid w:val="00AB5B89"/>
    <w:rsid w:val="00AB5E7A"/>
    <w:rsid w:val="00AB5EDC"/>
    <w:rsid w:val="00AB616D"/>
    <w:rsid w:val="00AB6485"/>
    <w:rsid w:val="00AB6C22"/>
    <w:rsid w:val="00AB779A"/>
    <w:rsid w:val="00AB7A5E"/>
    <w:rsid w:val="00AC00AA"/>
    <w:rsid w:val="00AC00FA"/>
    <w:rsid w:val="00AC088B"/>
    <w:rsid w:val="00AC0C7B"/>
    <w:rsid w:val="00AC1073"/>
    <w:rsid w:val="00AC1357"/>
    <w:rsid w:val="00AC15C7"/>
    <w:rsid w:val="00AC1ACF"/>
    <w:rsid w:val="00AC2232"/>
    <w:rsid w:val="00AC2378"/>
    <w:rsid w:val="00AC2B87"/>
    <w:rsid w:val="00AC3019"/>
    <w:rsid w:val="00AC31C9"/>
    <w:rsid w:val="00AC330D"/>
    <w:rsid w:val="00AC35BF"/>
    <w:rsid w:val="00AC39BF"/>
    <w:rsid w:val="00AC39F0"/>
    <w:rsid w:val="00AC3D6E"/>
    <w:rsid w:val="00AC40EF"/>
    <w:rsid w:val="00AC42D2"/>
    <w:rsid w:val="00AC4513"/>
    <w:rsid w:val="00AC4795"/>
    <w:rsid w:val="00AC4A19"/>
    <w:rsid w:val="00AC518B"/>
    <w:rsid w:val="00AC5297"/>
    <w:rsid w:val="00AC539C"/>
    <w:rsid w:val="00AC5485"/>
    <w:rsid w:val="00AC5EF0"/>
    <w:rsid w:val="00AC5F0B"/>
    <w:rsid w:val="00AC6078"/>
    <w:rsid w:val="00AC62C8"/>
    <w:rsid w:val="00AC64F4"/>
    <w:rsid w:val="00AC6711"/>
    <w:rsid w:val="00AC69C6"/>
    <w:rsid w:val="00AC6AC4"/>
    <w:rsid w:val="00AC6CC4"/>
    <w:rsid w:val="00AC6DB6"/>
    <w:rsid w:val="00AC6E15"/>
    <w:rsid w:val="00AC71DE"/>
    <w:rsid w:val="00AC787E"/>
    <w:rsid w:val="00AC795A"/>
    <w:rsid w:val="00AC7EF4"/>
    <w:rsid w:val="00AC7FCA"/>
    <w:rsid w:val="00AD04BB"/>
    <w:rsid w:val="00AD078D"/>
    <w:rsid w:val="00AD09B3"/>
    <w:rsid w:val="00AD0C9F"/>
    <w:rsid w:val="00AD0D07"/>
    <w:rsid w:val="00AD1628"/>
    <w:rsid w:val="00AD195D"/>
    <w:rsid w:val="00AD1AD7"/>
    <w:rsid w:val="00AD1F9F"/>
    <w:rsid w:val="00AD200E"/>
    <w:rsid w:val="00AD2467"/>
    <w:rsid w:val="00AD29F8"/>
    <w:rsid w:val="00AD2BE1"/>
    <w:rsid w:val="00AD2FC4"/>
    <w:rsid w:val="00AD3181"/>
    <w:rsid w:val="00AD399F"/>
    <w:rsid w:val="00AD3B49"/>
    <w:rsid w:val="00AD3D80"/>
    <w:rsid w:val="00AD4013"/>
    <w:rsid w:val="00AD416D"/>
    <w:rsid w:val="00AD4236"/>
    <w:rsid w:val="00AD437C"/>
    <w:rsid w:val="00AD4934"/>
    <w:rsid w:val="00AD4F81"/>
    <w:rsid w:val="00AD5283"/>
    <w:rsid w:val="00AD55C2"/>
    <w:rsid w:val="00AD568E"/>
    <w:rsid w:val="00AD6120"/>
    <w:rsid w:val="00AD720A"/>
    <w:rsid w:val="00AD7372"/>
    <w:rsid w:val="00AD7D67"/>
    <w:rsid w:val="00AD7FB7"/>
    <w:rsid w:val="00AE0152"/>
    <w:rsid w:val="00AE01B7"/>
    <w:rsid w:val="00AE020D"/>
    <w:rsid w:val="00AE0B42"/>
    <w:rsid w:val="00AE10FE"/>
    <w:rsid w:val="00AE12AB"/>
    <w:rsid w:val="00AE141E"/>
    <w:rsid w:val="00AE1494"/>
    <w:rsid w:val="00AE1579"/>
    <w:rsid w:val="00AE1651"/>
    <w:rsid w:val="00AE1BAC"/>
    <w:rsid w:val="00AE1F6C"/>
    <w:rsid w:val="00AE2318"/>
    <w:rsid w:val="00AE2528"/>
    <w:rsid w:val="00AE2609"/>
    <w:rsid w:val="00AE266A"/>
    <w:rsid w:val="00AE2800"/>
    <w:rsid w:val="00AE2D82"/>
    <w:rsid w:val="00AE2F5D"/>
    <w:rsid w:val="00AE31C2"/>
    <w:rsid w:val="00AE31DD"/>
    <w:rsid w:val="00AE3316"/>
    <w:rsid w:val="00AE39B1"/>
    <w:rsid w:val="00AE3EC3"/>
    <w:rsid w:val="00AE41A8"/>
    <w:rsid w:val="00AE426B"/>
    <w:rsid w:val="00AE4770"/>
    <w:rsid w:val="00AE496E"/>
    <w:rsid w:val="00AE4EA3"/>
    <w:rsid w:val="00AE50D1"/>
    <w:rsid w:val="00AE51A7"/>
    <w:rsid w:val="00AE53C3"/>
    <w:rsid w:val="00AE546B"/>
    <w:rsid w:val="00AE5877"/>
    <w:rsid w:val="00AE58A4"/>
    <w:rsid w:val="00AE5941"/>
    <w:rsid w:val="00AE5A6F"/>
    <w:rsid w:val="00AE5B38"/>
    <w:rsid w:val="00AE61AF"/>
    <w:rsid w:val="00AE61BF"/>
    <w:rsid w:val="00AE62EE"/>
    <w:rsid w:val="00AE6305"/>
    <w:rsid w:val="00AE666B"/>
    <w:rsid w:val="00AE683A"/>
    <w:rsid w:val="00AE6A09"/>
    <w:rsid w:val="00AE6D93"/>
    <w:rsid w:val="00AE7041"/>
    <w:rsid w:val="00AE714A"/>
    <w:rsid w:val="00AE74B6"/>
    <w:rsid w:val="00AF02BF"/>
    <w:rsid w:val="00AF06AF"/>
    <w:rsid w:val="00AF06C7"/>
    <w:rsid w:val="00AF0AFF"/>
    <w:rsid w:val="00AF15F9"/>
    <w:rsid w:val="00AF1AE2"/>
    <w:rsid w:val="00AF1B42"/>
    <w:rsid w:val="00AF1F66"/>
    <w:rsid w:val="00AF22A6"/>
    <w:rsid w:val="00AF2914"/>
    <w:rsid w:val="00AF2B84"/>
    <w:rsid w:val="00AF2C3C"/>
    <w:rsid w:val="00AF341B"/>
    <w:rsid w:val="00AF3B73"/>
    <w:rsid w:val="00AF5050"/>
    <w:rsid w:val="00AF590B"/>
    <w:rsid w:val="00AF5912"/>
    <w:rsid w:val="00AF5C69"/>
    <w:rsid w:val="00AF5F6A"/>
    <w:rsid w:val="00AF627E"/>
    <w:rsid w:val="00AF62ED"/>
    <w:rsid w:val="00AF665F"/>
    <w:rsid w:val="00AF6AD8"/>
    <w:rsid w:val="00AF6E11"/>
    <w:rsid w:val="00AF73AE"/>
    <w:rsid w:val="00AF78CC"/>
    <w:rsid w:val="00B000F2"/>
    <w:rsid w:val="00B00480"/>
    <w:rsid w:val="00B00768"/>
    <w:rsid w:val="00B01383"/>
    <w:rsid w:val="00B01A04"/>
    <w:rsid w:val="00B01A6E"/>
    <w:rsid w:val="00B022CF"/>
    <w:rsid w:val="00B02317"/>
    <w:rsid w:val="00B02402"/>
    <w:rsid w:val="00B027C3"/>
    <w:rsid w:val="00B02899"/>
    <w:rsid w:val="00B028DA"/>
    <w:rsid w:val="00B02B5F"/>
    <w:rsid w:val="00B02FF3"/>
    <w:rsid w:val="00B03841"/>
    <w:rsid w:val="00B03A56"/>
    <w:rsid w:val="00B03ECD"/>
    <w:rsid w:val="00B04379"/>
    <w:rsid w:val="00B04AFA"/>
    <w:rsid w:val="00B04BCA"/>
    <w:rsid w:val="00B04BDE"/>
    <w:rsid w:val="00B04D26"/>
    <w:rsid w:val="00B05105"/>
    <w:rsid w:val="00B0545F"/>
    <w:rsid w:val="00B05BF7"/>
    <w:rsid w:val="00B05E0F"/>
    <w:rsid w:val="00B05F73"/>
    <w:rsid w:val="00B068BA"/>
    <w:rsid w:val="00B06A67"/>
    <w:rsid w:val="00B07214"/>
    <w:rsid w:val="00B072EF"/>
    <w:rsid w:val="00B07695"/>
    <w:rsid w:val="00B100A0"/>
    <w:rsid w:val="00B105BF"/>
    <w:rsid w:val="00B107CB"/>
    <w:rsid w:val="00B11320"/>
    <w:rsid w:val="00B117AB"/>
    <w:rsid w:val="00B11B6E"/>
    <w:rsid w:val="00B120CD"/>
    <w:rsid w:val="00B120E7"/>
    <w:rsid w:val="00B121E3"/>
    <w:rsid w:val="00B12606"/>
    <w:rsid w:val="00B12639"/>
    <w:rsid w:val="00B12718"/>
    <w:rsid w:val="00B12851"/>
    <w:rsid w:val="00B12A48"/>
    <w:rsid w:val="00B12B59"/>
    <w:rsid w:val="00B12E95"/>
    <w:rsid w:val="00B13628"/>
    <w:rsid w:val="00B1384A"/>
    <w:rsid w:val="00B13EBA"/>
    <w:rsid w:val="00B13F7B"/>
    <w:rsid w:val="00B14321"/>
    <w:rsid w:val="00B14D18"/>
    <w:rsid w:val="00B150C8"/>
    <w:rsid w:val="00B151B3"/>
    <w:rsid w:val="00B15634"/>
    <w:rsid w:val="00B156C8"/>
    <w:rsid w:val="00B16455"/>
    <w:rsid w:val="00B16DEA"/>
    <w:rsid w:val="00B16E3D"/>
    <w:rsid w:val="00B16EB1"/>
    <w:rsid w:val="00B16FFC"/>
    <w:rsid w:val="00B172FC"/>
    <w:rsid w:val="00B17477"/>
    <w:rsid w:val="00B17BE1"/>
    <w:rsid w:val="00B17E0D"/>
    <w:rsid w:val="00B200D2"/>
    <w:rsid w:val="00B20927"/>
    <w:rsid w:val="00B20C69"/>
    <w:rsid w:val="00B20D53"/>
    <w:rsid w:val="00B2111F"/>
    <w:rsid w:val="00B21208"/>
    <w:rsid w:val="00B21548"/>
    <w:rsid w:val="00B218BA"/>
    <w:rsid w:val="00B21B24"/>
    <w:rsid w:val="00B21C7D"/>
    <w:rsid w:val="00B2216E"/>
    <w:rsid w:val="00B226B8"/>
    <w:rsid w:val="00B229B7"/>
    <w:rsid w:val="00B22E22"/>
    <w:rsid w:val="00B22EC0"/>
    <w:rsid w:val="00B23966"/>
    <w:rsid w:val="00B23EF1"/>
    <w:rsid w:val="00B24130"/>
    <w:rsid w:val="00B242EF"/>
    <w:rsid w:val="00B247A3"/>
    <w:rsid w:val="00B24916"/>
    <w:rsid w:val="00B24D1E"/>
    <w:rsid w:val="00B25342"/>
    <w:rsid w:val="00B25E46"/>
    <w:rsid w:val="00B25F05"/>
    <w:rsid w:val="00B25FF8"/>
    <w:rsid w:val="00B26296"/>
    <w:rsid w:val="00B2631B"/>
    <w:rsid w:val="00B26490"/>
    <w:rsid w:val="00B266CE"/>
    <w:rsid w:val="00B27082"/>
    <w:rsid w:val="00B2768B"/>
    <w:rsid w:val="00B278B9"/>
    <w:rsid w:val="00B303A8"/>
    <w:rsid w:val="00B3051B"/>
    <w:rsid w:val="00B30C7E"/>
    <w:rsid w:val="00B30C8E"/>
    <w:rsid w:val="00B31292"/>
    <w:rsid w:val="00B31341"/>
    <w:rsid w:val="00B317BD"/>
    <w:rsid w:val="00B3180D"/>
    <w:rsid w:val="00B31B0E"/>
    <w:rsid w:val="00B31C19"/>
    <w:rsid w:val="00B320C5"/>
    <w:rsid w:val="00B32243"/>
    <w:rsid w:val="00B32469"/>
    <w:rsid w:val="00B32988"/>
    <w:rsid w:val="00B329E2"/>
    <w:rsid w:val="00B32F35"/>
    <w:rsid w:val="00B338DE"/>
    <w:rsid w:val="00B33D5C"/>
    <w:rsid w:val="00B33EAE"/>
    <w:rsid w:val="00B34141"/>
    <w:rsid w:val="00B341F4"/>
    <w:rsid w:val="00B342B3"/>
    <w:rsid w:val="00B34E0A"/>
    <w:rsid w:val="00B35D19"/>
    <w:rsid w:val="00B35E08"/>
    <w:rsid w:val="00B35E88"/>
    <w:rsid w:val="00B3620E"/>
    <w:rsid w:val="00B36228"/>
    <w:rsid w:val="00B362D5"/>
    <w:rsid w:val="00B3632C"/>
    <w:rsid w:val="00B36BC8"/>
    <w:rsid w:val="00B36C75"/>
    <w:rsid w:val="00B3709B"/>
    <w:rsid w:val="00B3722D"/>
    <w:rsid w:val="00B3746C"/>
    <w:rsid w:val="00B37A08"/>
    <w:rsid w:val="00B37F45"/>
    <w:rsid w:val="00B4018E"/>
    <w:rsid w:val="00B4070B"/>
    <w:rsid w:val="00B41219"/>
    <w:rsid w:val="00B4121E"/>
    <w:rsid w:val="00B41313"/>
    <w:rsid w:val="00B4131A"/>
    <w:rsid w:val="00B41531"/>
    <w:rsid w:val="00B416D3"/>
    <w:rsid w:val="00B4194B"/>
    <w:rsid w:val="00B41C31"/>
    <w:rsid w:val="00B4213F"/>
    <w:rsid w:val="00B4258F"/>
    <w:rsid w:val="00B427A1"/>
    <w:rsid w:val="00B42833"/>
    <w:rsid w:val="00B428CB"/>
    <w:rsid w:val="00B42A8F"/>
    <w:rsid w:val="00B42C35"/>
    <w:rsid w:val="00B42EA9"/>
    <w:rsid w:val="00B4341F"/>
    <w:rsid w:val="00B43673"/>
    <w:rsid w:val="00B442DC"/>
    <w:rsid w:val="00B443CB"/>
    <w:rsid w:val="00B447D3"/>
    <w:rsid w:val="00B451D1"/>
    <w:rsid w:val="00B457E3"/>
    <w:rsid w:val="00B4644B"/>
    <w:rsid w:val="00B4671F"/>
    <w:rsid w:val="00B467C2"/>
    <w:rsid w:val="00B467CD"/>
    <w:rsid w:val="00B46B8D"/>
    <w:rsid w:val="00B46C5D"/>
    <w:rsid w:val="00B46D8B"/>
    <w:rsid w:val="00B46E60"/>
    <w:rsid w:val="00B47121"/>
    <w:rsid w:val="00B47C8D"/>
    <w:rsid w:val="00B50182"/>
    <w:rsid w:val="00B50226"/>
    <w:rsid w:val="00B506DF"/>
    <w:rsid w:val="00B507F4"/>
    <w:rsid w:val="00B50888"/>
    <w:rsid w:val="00B50931"/>
    <w:rsid w:val="00B50CDF"/>
    <w:rsid w:val="00B51140"/>
    <w:rsid w:val="00B51178"/>
    <w:rsid w:val="00B512F3"/>
    <w:rsid w:val="00B51925"/>
    <w:rsid w:val="00B51A89"/>
    <w:rsid w:val="00B51BFA"/>
    <w:rsid w:val="00B51D04"/>
    <w:rsid w:val="00B51D4D"/>
    <w:rsid w:val="00B51D92"/>
    <w:rsid w:val="00B520D4"/>
    <w:rsid w:val="00B52586"/>
    <w:rsid w:val="00B525D5"/>
    <w:rsid w:val="00B527CD"/>
    <w:rsid w:val="00B527E3"/>
    <w:rsid w:val="00B52801"/>
    <w:rsid w:val="00B52B31"/>
    <w:rsid w:val="00B5324C"/>
    <w:rsid w:val="00B536BD"/>
    <w:rsid w:val="00B53A19"/>
    <w:rsid w:val="00B5446B"/>
    <w:rsid w:val="00B54549"/>
    <w:rsid w:val="00B5487C"/>
    <w:rsid w:val="00B54EF5"/>
    <w:rsid w:val="00B54FAC"/>
    <w:rsid w:val="00B552C9"/>
    <w:rsid w:val="00B55468"/>
    <w:rsid w:val="00B55C51"/>
    <w:rsid w:val="00B55F1D"/>
    <w:rsid w:val="00B56D27"/>
    <w:rsid w:val="00B57272"/>
    <w:rsid w:val="00B5747E"/>
    <w:rsid w:val="00B5751E"/>
    <w:rsid w:val="00B576E0"/>
    <w:rsid w:val="00B57855"/>
    <w:rsid w:val="00B57932"/>
    <w:rsid w:val="00B57FE8"/>
    <w:rsid w:val="00B60124"/>
    <w:rsid w:val="00B60212"/>
    <w:rsid w:val="00B60216"/>
    <w:rsid w:val="00B603EA"/>
    <w:rsid w:val="00B604A3"/>
    <w:rsid w:val="00B604CF"/>
    <w:rsid w:val="00B607B0"/>
    <w:rsid w:val="00B607DB"/>
    <w:rsid w:val="00B60976"/>
    <w:rsid w:val="00B6104B"/>
    <w:rsid w:val="00B6175E"/>
    <w:rsid w:val="00B61C7B"/>
    <w:rsid w:val="00B62192"/>
    <w:rsid w:val="00B625B9"/>
    <w:rsid w:val="00B625CB"/>
    <w:rsid w:val="00B627C5"/>
    <w:rsid w:val="00B62B68"/>
    <w:rsid w:val="00B62BB6"/>
    <w:rsid w:val="00B62D1B"/>
    <w:rsid w:val="00B63632"/>
    <w:rsid w:val="00B63AF6"/>
    <w:rsid w:val="00B63E04"/>
    <w:rsid w:val="00B644FF"/>
    <w:rsid w:val="00B64649"/>
    <w:rsid w:val="00B64D2B"/>
    <w:rsid w:val="00B6519B"/>
    <w:rsid w:val="00B65470"/>
    <w:rsid w:val="00B655B6"/>
    <w:rsid w:val="00B65A06"/>
    <w:rsid w:val="00B65B43"/>
    <w:rsid w:val="00B65D6E"/>
    <w:rsid w:val="00B6613D"/>
    <w:rsid w:val="00B6663A"/>
    <w:rsid w:val="00B668A3"/>
    <w:rsid w:val="00B67562"/>
    <w:rsid w:val="00B6791B"/>
    <w:rsid w:val="00B679E1"/>
    <w:rsid w:val="00B67F78"/>
    <w:rsid w:val="00B70980"/>
    <w:rsid w:val="00B70B6B"/>
    <w:rsid w:val="00B70C20"/>
    <w:rsid w:val="00B70CB6"/>
    <w:rsid w:val="00B70FD9"/>
    <w:rsid w:val="00B719BD"/>
    <w:rsid w:val="00B719CF"/>
    <w:rsid w:val="00B71CCF"/>
    <w:rsid w:val="00B71EAE"/>
    <w:rsid w:val="00B71FA4"/>
    <w:rsid w:val="00B723AB"/>
    <w:rsid w:val="00B725D1"/>
    <w:rsid w:val="00B72EB4"/>
    <w:rsid w:val="00B73127"/>
    <w:rsid w:val="00B7346B"/>
    <w:rsid w:val="00B734E8"/>
    <w:rsid w:val="00B73779"/>
    <w:rsid w:val="00B73DA0"/>
    <w:rsid w:val="00B73DFD"/>
    <w:rsid w:val="00B74034"/>
    <w:rsid w:val="00B74699"/>
    <w:rsid w:val="00B749BE"/>
    <w:rsid w:val="00B74E1B"/>
    <w:rsid w:val="00B74FD5"/>
    <w:rsid w:val="00B75B54"/>
    <w:rsid w:val="00B75CD0"/>
    <w:rsid w:val="00B760C4"/>
    <w:rsid w:val="00B76481"/>
    <w:rsid w:val="00B76706"/>
    <w:rsid w:val="00B802FC"/>
    <w:rsid w:val="00B80534"/>
    <w:rsid w:val="00B8062F"/>
    <w:rsid w:val="00B80872"/>
    <w:rsid w:val="00B80B5C"/>
    <w:rsid w:val="00B80EFB"/>
    <w:rsid w:val="00B81278"/>
    <w:rsid w:val="00B8161B"/>
    <w:rsid w:val="00B817C0"/>
    <w:rsid w:val="00B81B16"/>
    <w:rsid w:val="00B81B8D"/>
    <w:rsid w:val="00B81BEA"/>
    <w:rsid w:val="00B821D4"/>
    <w:rsid w:val="00B822E3"/>
    <w:rsid w:val="00B82347"/>
    <w:rsid w:val="00B824B0"/>
    <w:rsid w:val="00B82614"/>
    <w:rsid w:val="00B82960"/>
    <w:rsid w:val="00B82CD1"/>
    <w:rsid w:val="00B834D2"/>
    <w:rsid w:val="00B838A7"/>
    <w:rsid w:val="00B83AD8"/>
    <w:rsid w:val="00B8422A"/>
    <w:rsid w:val="00B842C1"/>
    <w:rsid w:val="00B84ADC"/>
    <w:rsid w:val="00B84BD8"/>
    <w:rsid w:val="00B85396"/>
    <w:rsid w:val="00B855C2"/>
    <w:rsid w:val="00B85934"/>
    <w:rsid w:val="00B859C5"/>
    <w:rsid w:val="00B85E5B"/>
    <w:rsid w:val="00B85FB8"/>
    <w:rsid w:val="00B86465"/>
    <w:rsid w:val="00B869C2"/>
    <w:rsid w:val="00B87882"/>
    <w:rsid w:val="00B87D31"/>
    <w:rsid w:val="00B87D3A"/>
    <w:rsid w:val="00B901B8"/>
    <w:rsid w:val="00B90240"/>
    <w:rsid w:val="00B90278"/>
    <w:rsid w:val="00B90812"/>
    <w:rsid w:val="00B90A99"/>
    <w:rsid w:val="00B90CAD"/>
    <w:rsid w:val="00B91301"/>
    <w:rsid w:val="00B913E2"/>
    <w:rsid w:val="00B91BB7"/>
    <w:rsid w:val="00B91CB5"/>
    <w:rsid w:val="00B92100"/>
    <w:rsid w:val="00B92137"/>
    <w:rsid w:val="00B92352"/>
    <w:rsid w:val="00B9262E"/>
    <w:rsid w:val="00B9269A"/>
    <w:rsid w:val="00B928EC"/>
    <w:rsid w:val="00B92BD1"/>
    <w:rsid w:val="00B92E26"/>
    <w:rsid w:val="00B930F5"/>
    <w:rsid w:val="00B931D6"/>
    <w:rsid w:val="00B93668"/>
    <w:rsid w:val="00B936C7"/>
    <w:rsid w:val="00B937D3"/>
    <w:rsid w:val="00B93847"/>
    <w:rsid w:val="00B93C5A"/>
    <w:rsid w:val="00B9408C"/>
    <w:rsid w:val="00B94133"/>
    <w:rsid w:val="00B945E6"/>
    <w:rsid w:val="00B94B47"/>
    <w:rsid w:val="00B94EAE"/>
    <w:rsid w:val="00B95597"/>
    <w:rsid w:val="00B958C1"/>
    <w:rsid w:val="00B960EC"/>
    <w:rsid w:val="00B969DE"/>
    <w:rsid w:val="00B96C96"/>
    <w:rsid w:val="00B96D07"/>
    <w:rsid w:val="00B96D90"/>
    <w:rsid w:val="00B973B6"/>
    <w:rsid w:val="00B97481"/>
    <w:rsid w:val="00B9779A"/>
    <w:rsid w:val="00B97B28"/>
    <w:rsid w:val="00BA0B20"/>
    <w:rsid w:val="00BA0B4F"/>
    <w:rsid w:val="00BA0CCC"/>
    <w:rsid w:val="00BA0D7B"/>
    <w:rsid w:val="00BA0E7B"/>
    <w:rsid w:val="00BA0F86"/>
    <w:rsid w:val="00BA15B2"/>
    <w:rsid w:val="00BA1B42"/>
    <w:rsid w:val="00BA1BD1"/>
    <w:rsid w:val="00BA1BD5"/>
    <w:rsid w:val="00BA1D9C"/>
    <w:rsid w:val="00BA207E"/>
    <w:rsid w:val="00BA223B"/>
    <w:rsid w:val="00BA2D09"/>
    <w:rsid w:val="00BA2E76"/>
    <w:rsid w:val="00BA30D8"/>
    <w:rsid w:val="00BA3410"/>
    <w:rsid w:val="00BA341C"/>
    <w:rsid w:val="00BA3727"/>
    <w:rsid w:val="00BA386B"/>
    <w:rsid w:val="00BA3ACD"/>
    <w:rsid w:val="00BA3D31"/>
    <w:rsid w:val="00BA3D99"/>
    <w:rsid w:val="00BA3E2B"/>
    <w:rsid w:val="00BA3E50"/>
    <w:rsid w:val="00BA4402"/>
    <w:rsid w:val="00BA4411"/>
    <w:rsid w:val="00BA47F7"/>
    <w:rsid w:val="00BA4B8E"/>
    <w:rsid w:val="00BA508A"/>
    <w:rsid w:val="00BA5B6B"/>
    <w:rsid w:val="00BA6228"/>
    <w:rsid w:val="00BA6232"/>
    <w:rsid w:val="00BA62BA"/>
    <w:rsid w:val="00BA62C0"/>
    <w:rsid w:val="00BA6A74"/>
    <w:rsid w:val="00BA7130"/>
    <w:rsid w:val="00BA776E"/>
    <w:rsid w:val="00BA78EF"/>
    <w:rsid w:val="00BA7FD6"/>
    <w:rsid w:val="00BB0411"/>
    <w:rsid w:val="00BB05B6"/>
    <w:rsid w:val="00BB0F21"/>
    <w:rsid w:val="00BB104D"/>
    <w:rsid w:val="00BB18B4"/>
    <w:rsid w:val="00BB1A15"/>
    <w:rsid w:val="00BB22D3"/>
    <w:rsid w:val="00BB2648"/>
    <w:rsid w:val="00BB2662"/>
    <w:rsid w:val="00BB2BD6"/>
    <w:rsid w:val="00BB2FB1"/>
    <w:rsid w:val="00BB2FC4"/>
    <w:rsid w:val="00BB3607"/>
    <w:rsid w:val="00BB3BBA"/>
    <w:rsid w:val="00BB41B7"/>
    <w:rsid w:val="00BB47A7"/>
    <w:rsid w:val="00BB4879"/>
    <w:rsid w:val="00BB4B7B"/>
    <w:rsid w:val="00BB4B88"/>
    <w:rsid w:val="00BB4C3D"/>
    <w:rsid w:val="00BB4ECB"/>
    <w:rsid w:val="00BB54F0"/>
    <w:rsid w:val="00BB560D"/>
    <w:rsid w:val="00BB58C5"/>
    <w:rsid w:val="00BB5E93"/>
    <w:rsid w:val="00BB5F3A"/>
    <w:rsid w:val="00BB6044"/>
    <w:rsid w:val="00BB664F"/>
    <w:rsid w:val="00BB6652"/>
    <w:rsid w:val="00BB674E"/>
    <w:rsid w:val="00BB675F"/>
    <w:rsid w:val="00BB70C1"/>
    <w:rsid w:val="00BB7513"/>
    <w:rsid w:val="00BB77DC"/>
    <w:rsid w:val="00BC0056"/>
    <w:rsid w:val="00BC070A"/>
    <w:rsid w:val="00BC070F"/>
    <w:rsid w:val="00BC08DB"/>
    <w:rsid w:val="00BC091B"/>
    <w:rsid w:val="00BC0F0C"/>
    <w:rsid w:val="00BC0FC5"/>
    <w:rsid w:val="00BC1BBF"/>
    <w:rsid w:val="00BC1E41"/>
    <w:rsid w:val="00BC222D"/>
    <w:rsid w:val="00BC23AD"/>
    <w:rsid w:val="00BC2483"/>
    <w:rsid w:val="00BC30AE"/>
    <w:rsid w:val="00BC311E"/>
    <w:rsid w:val="00BC350B"/>
    <w:rsid w:val="00BC3D3D"/>
    <w:rsid w:val="00BC401D"/>
    <w:rsid w:val="00BC404C"/>
    <w:rsid w:val="00BC40AB"/>
    <w:rsid w:val="00BC42F1"/>
    <w:rsid w:val="00BC4764"/>
    <w:rsid w:val="00BC4B33"/>
    <w:rsid w:val="00BC4EC1"/>
    <w:rsid w:val="00BC51AA"/>
    <w:rsid w:val="00BC531F"/>
    <w:rsid w:val="00BC5B8A"/>
    <w:rsid w:val="00BC5BDD"/>
    <w:rsid w:val="00BC69F2"/>
    <w:rsid w:val="00BC6E18"/>
    <w:rsid w:val="00BC6EA0"/>
    <w:rsid w:val="00BC6ECB"/>
    <w:rsid w:val="00BC6F57"/>
    <w:rsid w:val="00BC6FA4"/>
    <w:rsid w:val="00BC70A7"/>
    <w:rsid w:val="00BC7529"/>
    <w:rsid w:val="00BC752A"/>
    <w:rsid w:val="00BC766E"/>
    <w:rsid w:val="00BC76D1"/>
    <w:rsid w:val="00BC7776"/>
    <w:rsid w:val="00BC785D"/>
    <w:rsid w:val="00BC7972"/>
    <w:rsid w:val="00BC7A11"/>
    <w:rsid w:val="00BC7B76"/>
    <w:rsid w:val="00BC7D51"/>
    <w:rsid w:val="00BC7F20"/>
    <w:rsid w:val="00BD01B4"/>
    <w:rsid w:val="00BD03A2"/>
    <w:rsid w:val="00BD04CD"/>
    <w:rsid w:val="00BD04EA"/>
    <w:rsid w:val="00BD0AE9"/>
    <w:rsid w:val="00BD0CEB"/>
    <w:rsid w:val="00BD101B"/>
    <w:rsid w:val="00BD14F3"/>
    <w:rsid w:val="00BD1C1D"/>
    <w:rsid w:val="00BD2079"/>
    <w:rsid w:val="00BD221C"/>
    <w:rsid w:val="00BD2A84"/>
    <w:rsid w:val="00BD315D"/>
    <w:rsid w:val="00BD3162"/>
    <w:rsid w:val="00BD3803"/>
    <w:rsid w:val="00BD381A"/>
    <w:rsid w:val="00BD3BE5"/>
    <w:rsid w:val="00BD4024"/>
    <w:rsid w:val="00BD4102"/>
    <w:rsid w:val="00BD464E"/>
    <w:rsid w:val="00BD4663"/>
    <w:rsid w:val="00BD4858"/>
    <w:rsid w:val="00BD4E22"/>
    <w:rsid w:val="00BD4ECE"/>
    <w:rsid w:val="00BD5B1B"/>
    <w:rsid w:val="00BD5BB7"/>
    <w:rsid w:val="00BD5C0C"/>
    <w:rsid w:val="00BD7D9A"/>
    <w:rsid w:val="00BE018E"/>
    <w:rsid w:val="00BE01F6"/>
    <w:rsid w:val="00BE0599"/>
    <w:rsid w:val="00BE0733"/>
    <w:rsid w:val="00BE0785"/>
    <w:rsid w:val="00BE0798"/>
    <w:rsid w:val="00BE0B42"/>
    <w:rsid w:val="00BE0B7D"/>
    <w:rsid w:val="00BE1497"/>
    <w:rsid w:val="00BE1542"/>
    <w:rsid w:val="00BE1E77"/>
    <w:rsid w:val="00BE210B"/>
    <w:rsid w:val="00BE2676"/>
    <w:rsid w:val="00BE27F2"/>
    <w:rsid w:val="00BE280C"/>
    <w:rsid w:val="00BE2AC2"/>
    <w:rsid w:val="00BE2D91"/>
    <w:rsid w:val="00BE3294"/>
    <w:rsid w:val="00BE32E7"/>
    <w:rsid w:val="00BE3557"/>
    <w:rsid w:val="00BE373A"/>
    <w:rsid w:val="00BE389A"/>
    <w:rsid w:val="00BE3D11"/>
    <w:rsid w:val="00BE45ED"/>
    <w:rsid w:val="00BE482C"/>
    <w:rsid w:val="00BE5708"/>
    <w:rsid w:val="00BE589D"/>
    <w:rsid w:val="00BE5DCE"/>
    <w:rsid w:val="00BE74AA"/>
    <w:rsid w:val="00BE78B5"/>
    <w:rsid w:val="00BE7AC9"/>
    <w:rsid w:val="00BE7B31"/>
    <w:rsid w:val="00BE7FB5"/>
    <w:rsid w:val="00BF04BC"/>
    <w:rsid w:val="00BF052F"/>
    <w:rsid w:val="00BF060E"/>
    <w:rsid w:val="00BF093B"/>
    <w:rsid w:val="00BF11C8"/>
    <w:rsid w:val="00BF15D5"/>
    <w:rsid w:val="00BF1801"/>
    <w:rsid w:val="00BF180E"/>
    <w:rsid w:val="00BF192B"/>
    <w:rsid w:val="00BF1C79"/>
    <w:rsid w:val="00BF1F23"/>
    <w:rsid w:val="00BF1F30"/>
    <w:rsid w:val="00BF1F90"/>
    <w:rsid w:val="00BF20D7"/>
    <w:rsid w:val="00BF21D7"/>
    <w:rsid w:val="00BF2567"/>
    <w:rsid w:val="00BF25C1"/>
    <w:rsid w:val="00BF2626"/>
    <w:rsid w:val="00BF2A4C"/>
    <w:rsid w:val="00BF2D81"/>
    <w:rsid w:val="00BF308D"/>
    <w:rsid w:val="00BF3236"/>
    <w:rsid w:val="00BF332D"/>
    <w:rsid w:val="00BF345E"/>
    <w:rsid w:val="00BF3D34"/>
    <w:rsid w:val="00BF3D45"/>
    <w:rsid w:val="00BF3DC6"/>
    <w:rsid w:val="00BF3E77"/>
    <w:rsid w:val="00BF4355"/>
    <w:rsid w:val="00BF436E"/>
    <w:rsid w:val="00BF43A1"/>
    <w:rsid w:val="00BF461D"/>
    <w:rsid w:val="00BF4CAB"/>
    <w:rsid w:val="00BF4D1E"/>
    <w:rsid w:val="00BF4F3C"/>
    <w:rsid w:val="00BF4F9B"/>
    <w:rsid w:val="00BF575C"/>
    <w:rsid w:val="00BF5B1E"/>
    <w:rsid w:val="00BF5B6A"/>
    <w:rsid w:val="00BF5C8A"/>
    <w:rsid w:val="00BF5E92"/>
    <w:rsid w:val="00BF6607"/>
    <w:rsid w:val="00BF67BD"/>
    <w:rsid w:val="00BF6FDD"/>
    <w:rsid w:val="00BF76DC"/>
    <w:rsid w:val="00BF7B74"/>
    <w:rsid w:val="00BF7DB7"/>
    <w:rsid w:val="00BF7DD1"/>
    <w:rsid w:val="00C00098"/>
    <w:rsid w:val="00C0071D"/>
    <w:rsid w:val="00C00C23"/>
    <w:rsid w:val="00C010F1"/>
    <w:rsid w:val="00C01290"/>
    <w:rsid w:val="00C012A2"/>
    <w:rsid w:val="00C0148E"/>
    <w:rsid w:val="00C01735"/>
    <w:rsid w:val="00C01D44"/>
    <w:rsid w:val="00C0202A"/>
    <w:rsid w:val="00C022D0"/>
    <w:rsid w:val="00C02856"/>
    <w:rsid w:val="00C029F3"/>
    <w:rsid w:val="00C02A43"/>
    <w:rsid w:val="00C02D26"/>
    <w:rsid w:val="00C03023"/>
    <w:rsid w:val="00C0303D"/>
    <w:rsid w:val="00C032F7"/>
    <w:rsid w:val="00C037CF"/>
    <w:rsid w:val="00C0380F"/>
    <w:rsid w:val="00C0384B"/>
    <w:rsid w:val="00C03C75"/>
    <w:rsid w:val="00C03C88"/>
    <w:rsid w:val="00C03F60"/>
    <w:rsid w:val="00C04370"/>
    <w:rsid w:val="00C043BB"/>
    <w:rsid w:val="00C04515"/>
    <w:rsid w:val="00C04E85"/>
    <w:rsid w:val="00C05754"/>
    <w:rsid w:val="00C05867"/>
    <w:rsid w:val="00C06E19"/>
    <w:rsid w:val="00C078E3"/>
    <w:rsid w:val="00C079F3"/>
    <w:rsid w:val="00C07D2C"/>
    <w:rsid w:val="00C101AB"/>
    <w:rsid w:val="00C101B7"/>
    <w:rsid w:val="00C10760"/>
    <w:rsid w:val="00C10BDC"/>
    <w:rsid w:val="00C10BEB"/>
    <w:rsid w:val="00C10DED"/>
    <w:rsid w:val="00C10ED1"/>
    <w:rsid w:val="00C110BE"/>
    <w:rsid w:val="00C112E5"/>
    <w:rsid w:val="00C115DA"/>
    <w:rsid w:val="00C11697"/>
    <w:rsid w:val="00C11BB3"/>
    <w:rsid w:val="00C1227B"/>
    <w:rsid w:val="00C127E3"/>
    <w:rsid w:val="00C12A3A"/>
    <w:rsid w:val="00C12D14"/>
    <w:rsid w:val="00C13277"/>
    <w:rsid w:val="00C1358D"/>
    <w:rsid w:val="00C13B57"/>
    <w:rsid w:val="00C13C16"/>
    <w:rsid w:val="00C13C2E"/>
    <w:rsid w:val="00C13E47"/>
    <w:rsid w:val="00C1403D"/>
    <w:rsid w:val="00C1405C"/>
    <w:rsid w:val="00C14144"/>
    <w:rsid w:val="00C1470D"/>
    <w:rsid w:val="00C14AA8"/>
    <w:rsid w:val="00C14F8B"/>
    <w:rsid w:val="00C15369"/>
    <w:rsid w:val="00C15561"/>
    <w:rsid w:val="00C157E2"/>
    <w:rsid w:val="00C15CBF"/>
    <w:rsid w:val="00C15DF2"/>
    <w:rsid w:val="00C15E48"/>
    <w:rsid w:val="00C1619E"/>
    <w:rsid w:val="00C163B9"/>
    <w:rsid w:val="00C1649F"/>
    <w:rsid w:val="00C168AF"/>
    <w:rsid w:val="00C16A61"/>
    <w:rsid w:val="00C16CA7"/>
    <w:rsid w:val="00C17242"/>
    <w:rsid w:val="00C172EF"/>
    <w:rsid w:val="00C174ED"/>
    <w:rsid w:val="00C17833"/>
    <w:rsid w:val="00C17843"/>
    <w:rsid w:val="00C17A55"/>
    <w:rsid w:val="00C17EC4"/>
    <w:rsid w:val="00C202BD"/>
    <w:rsid w:val="00C20E5C"/>
    <w:rsid w:val="00C20FBD"/>
    <w:rsid w:val="00C21085"/>
    <w:rsid w:val="00C212A3"/>
    <w:rsid w:val="00C215BF"/>
    <w:rsid w:val="00C22099"/>
    <w:rsid w:val="00C224FF"/>
    <w:rsid w:val="00C225EB"/>
    <w:rsid w:val="00C22632"/>
    <w:rsid w:val="00C22933"/>
    <w:rsid w:val="00C22FF4"/>
    <w:rsid w:val="00C2306F"/>
    <w:rsid w:val="00C23126"/>
    <w:rsid w:val="00C232B8"/>
    <w:rsid w:val="00C232D1"/>
    <w:rsid w:val="00C2331C"/>
    <w:rsid w:val="00C23D5D"/>
    <w:rsid w:val="00C242ED"/>
    <w:rsid w:val="00C24571"/>
    <w:rsid w:val="00C24F30"/>
    <w:rsid w:val="00C250E6"/>
    <w:rsid w:val="00C25230"/>
    <w:rsid w:val="00C25642"/>
    <w:rsid w:val="00C2579F"/>
    <w:rsid w:val="00C257A8"/>
    <w:rsid w:val="00C2625E"/>
    <w:rsid w:val="00C262B1"/>
    <w:rsid w:val="00C267CE"/>
    <w:rsid w:val="00C26AF9"/>
    <w:rsid w:val="00C26EC3"/>
    <w:rsid w:val="00C270AA"/>
    <w:rsid w:val="00C271A5"/>
    <w:rsid w:val="00C27D29"/>
    <w:rsid w:val="00C27E25"/>
    <w:rsid w:val="00C3028C"/>
    <w:rsid w:val="00C3070E"/>
    <w:rsid w:val="00C30868"/>
    <w:rsid w:val="00C30D56"/>
    <w:rsid w:val="00C30DF4"/>
    <w:rsid w:val="00C31251"/>
    <w:rsid w:val="00C3137F"/>
    <w:rsid w:val="00C31893"/>
    <w:rsid w:val="00C31924"/>
    <w:rsid w:val="00C31EDC"/>
    <w:rsid w:val="00C32153"/>
    <w:rsid w:val="00C323F7"/>
    <w:rsid w:val="00C32534"/>
    <w:rsid w:val="00C325DF"/>
    <w:rsid w:val="00C326B3"/>
    <w:rsid w:val="00C32B7B"/>
    <w:rsid w:val="00C33751"/>
    <w:rsid w:val="00C3378B"/>
    <w:rsid w:val="00C339A4"/>
    <w:rsid w:val="00C339D4"/>
    <w:rsid w:val="00C33CA2"/>
    <w:rsid w:val="00C33CFD"/>
    <w:rsid w:val="00C34164"/>
    <w:rsid w:val="00C341D3"/>
    <w:rsid w:val="00C342B9"/>
    <w:rsid w:val="00C342E6"/>
    <w:rsid w:val="00C344BE"/>
    <w:rsid w:val="00C34731"/>
    <w:rsid w:val="00C351F4"/>
    <w:rsid w:val="00C354D3"/>
    <w:rsid w:val="00C355C6"/>
    <w:rsid w:val="00C355F6"/>
    <w:rsid w:val="00C361EC"/>
    <w:rsid w:val="00C365C6"/>
    <w:rsid w:val="00C3682D"/>
    <w:rsid w:val="00C36F68"/>
    <w:rsid w:val="00C36FB9"/>
    <w:rsid w:val="00C3754D"/>
    <w:rsid w:val="00C3762B"/>
    <w:rsid w:val="00C376B9"/>
    <w:rsid w:val="00C37892"/>
    <w:rsid w:val="00C40213"/>
    <w:rsid w:val="00C402C3"/>
    <w:rsid w:val="00C4057F"/>
    <w:rsid w:val="00C409E7"/>
    <w:rsid w:val="00C40A88"/>
    <w:rsid w:val="00C40CC9"/>
    <w:rsid w:val="00C40D41"/>
    <w:rsid w:val="00C412A9"/>
    <w:rsid w:val="00C4167A"/>
    <w:rsid w:val="00C41ABC"/>
    <w:rsid w:val="00C4218D"/>
    <w:rsid w:val="00C424BD"/>
    <w:rsid w:val="00C4260E"/>
    <w:rsid w:val="00C42C28"/>
    <w:rsid w:val="00C43196"/>
    <w:rsid w:val="00C43417"/>
    <w:rsid w:val="00C439CA"/>
    <w:rsid w:val="00C44078"/>
    <w:rsid w:val="00C44228"/>
    <w:rsid w:val="00C447BE"/>
    <w:rsid w:val="00C450E6"/>
    <w:rsid w:val="00C45452"/>
    <w:rsid w:val="00C45518"/>
    <w:rsid w:val="00C45603"/>
    <w:rsid w:val="00C45A98"/>
    <w:rsid w:val="00C463F0"/>
    <w:rsid w:val="00C46545"/>
    <w:rsid w:val="00C465B1"/>
    <w:rsid w:val="00C4660F"/>
    <w:rsid w:val="00C46849"/>
    <w:rsid w:val="00C468DD"/>
    <w:rsid w:val="00C46ACD"/>
    <w:rsid w:val="00C46BE5"/>
    <w:rsid w:val="00C46D12"/>
    <w:rsid w:val="00C46E58"/>
    <w:rsid w:val="00C47225"/>
    <w:rsid w:val="00C473B8"/>
    <w:rsid w:val="00C474E8"/>
    <w:rsid w:val="00C4751E"/>
    <w:rsid w:val="00C47592"/>
    <w:rsid w:val="00C47684"/>
    <w:rsid w:val="00C476DD"/>
    <w:rsid w:val="00C478BE"/>
    <w:rsid w:val="00C47BDF"/>
    <w:rsid w:val="00C47D27"/>
    <w:rsid w:val="00C47E42"/>
    <w:rsid w:val="00C50478"/>
    <w:rsid w:val="00C50BB6"/>
    <w:rsid w:val="00C50C9E"/>
    <w:rsid w:val="00C50DE8"/>
    <w:rsid w:val="00C51100"/>
    <w:rsid w:val="00C512B4"/>
    <w:rsid w:val="00C514E3"/>
    <w:rsid w:val="00C518DE"/>
    <w:rsid w:val="00C52157"/>
    <w:rsid w:val="00C52222"/>
    <w:rsid w:val="00C52241"/>
    <w:rsid w:val="00C52437"/>
    <w:rsid w:val="00C52742"/>
    <w:rsid w:val="00C5286D"/>
    <w:rsid w:val="00C5298E"/>
    <w:rsid w:val="00C52A1E"/>
    <w:rsid w:val="00C531DA"/>
    <w:rsid w:val="00C53321"/>
    <w:rsid w:val="00C5366E"/>
    <w:rsid w:val="00C53756"/>
    <w:rsid w:val="00C5399A"/>
    <w:rsid w:val="00C53EED"/>
    <w:rsid w:val="00C53FF8"/>
    <w:rsid w:val="00C5400E"/>
    <w:rsid w:val="00C54364"/>
    <w:rsid w:val="00C545A8"/>
    <w:rsid w:val="00C546EA"/>
    <w:rsid w:val="00C548B7"/>
    <w:rsid w:val="00C54F1E"/>
    <w:rsid w:val="00C55348"/>
    <w:rsid w:val="00C555AF"/>
    <w:rsid w:val="00C55864"/>
    <w:rsid w:val="00C568EF"/>
    <w:rsid w:val="00C56A55"/>
    <w:rsid w:val="00C56AFA"/>
    <w:rsid w:val="00C56D1E"/>
    <w:rsid w:val="00C56D6F"/>
    <w:rsid w:val="00C56D8C"/>
    <w:rsid w:val="00C56E9E"/>
    <w:rsid w:val="00C56F27"/>
    <w:rsid w:val="00C572E0"/>
    <w:rsid w:val="00C5733A"/>
    <w:rsid w:val="00C57A89"/>
    <w:rsid w:val="00C57DB5"/>
    <w:rsid w:val="00C57E72"/>
    <w:rsid w:val="00C60013"/>
    <w:rsid w:val="00C606E9"/>
    <w:rsid w:val="00C609E6"/>
    <w:rsid w:val="00C60C53"/>
    <w:rsid w:val="00C60CD8"/>
    <w:rsid w:val="00C61234"/>
    <w:rsid w:val="00C61287"/>
    <w:rsid w:val="00C61D3B"/>
    <w:rsid w:val="00C62063"/>
    <w:rsid w:val="00C62BC6"/>
    <w:rsid w:val="00C62CC2"/>
    <w:rsid w:val="00C6313A"/>
    <w:rsid w:val="00C63BC5"/>
    <w:rsid w:val="00C63E73"/>
    <w:rsid w:val="00C63FA7"/>
    <w:rsid w:val="00C6400F"/>
    <w:rsid w:val="00C647D9"/>
    <w:rsid w:val="00C64B45"/>
    <w:rsid w:val="00C64CE7"/>
    <w:rsid w:val="00C64ED8"/>
    <w:rsid w:val="00C6512F"/>
    <w:rsid w:val="00C651C7"/>
    <w:rsid w:val="00C65896"/>
    <w:rsid w:val="00C65F9B"/>
    <w:rsid w:val="00C6603F"/>
    <w:rsid w:val="00C66155"/>
    <w:rsid w:val="00C66324"/>
    <w:rsid w:val="00C66753"/>
    <w:rsid w:val="00C6692D"/>
    <w:rsid w:val="00C669D4"/>
    <w:rsid w:val="00C66C79"/>
    <w:rsid w:val="00C66DD5"/>
    <w:rsid w:val="00C66E03"/>
    <w:rsid w:val="00C6702E"/>
    <w:rsid w:val="00C672DA"/>
    <w:rsid w:val="00C673D5"/>
    <w:rsid w:val="00C674D7"/>
    <w:rsid w:val="00C674DF"/>
    <w:rsid w:val="00C67556"/>
    <w:rsid w:val="00C6781E"/>
    <w:rsid w:val="00C678FC"/>
    <w:rsid w:val="00C67A25"/>
    <w:rsid w:val="00C67B3C"/>
    <w:rsid w:val="00C67CB1"/>
    <w:rsid w:val="00C67D1F"/>
    <w:rsid w:val="00C702BA"/>
    <w:rsid w:val="00C704BB"/>
    <w:rsid w:val="00C70A13"/>
    <w:rsid w:val="00C70B96"/>
    <w:rsid w:val="00C70F0C"/>
    <w:rsid w:val="00C711BC"/>
    <w:rsid w:val="00C71D82"/>
    <w:rsid w:val="00C71FA4"/>
    <w:rsid w:val="00C72481"/>
    <w:rsid w:val="00C72712"/>
    <w:rsid w:val="00C72D18"/>
    <w:rsid w:val="00C7324E"/>
    <w:rsid w:val="00C73474"/>
    <w:rsid w:val="00C73498"/>
    <w:rsid w:val="00C738AA"/>
    <w:rsid w:val="00C738E6"/>
    <w:rsid w:val="00C73E09"/>
    <w:rsid w:val="00C741F9"/>
    <w:rsid w:val="00C74571"/>
    <w:rsid w:val="00C746BD"/>
    <w:rsid w:val="00C74B1E"/>
    <w:rsid w:val="00C74B6D"/>
    <w:rsid w:val="00C74EF4"/>
    <w:rsid w:val="00C750F1"/>
    <w:rsid w:val="00C7523C"/>
    <w:rsid w:val="00C754DE"/>
    <w:rsid w:val="00C75875"/>
    <w:rsid w:val="00C759A4"/>
    <w:rsid w:val="00C75AB4"/>
    <w:rsid w:val="00C75FDD"/>
    <w:rsid w:val="00C76588"/>
    <w:rsid w:val="00C765ED"/>
    <w:rsid w:val="00C76711"/>
    <w:rsid w:val="00C76D7C"/>
    <w:rsid w:val="00C770BC"/>
    <w:rsid w:val="00C773F6"/>
    <w:rsid w:val="00C7780A"/>
    <w:rsid w:val="00C77B22"/>
    <w:rsid w:val="00C8007F"/>
    <w:rsid w:val="00C802AB"/>
    <w:rsid w:val="00C806DE"/>
    <w:rsid w:val="00C812D6"/>
    <w:rsid w:val="00C81325"/>
    <w:rsid w:val="00C8145B"/>
    <w:rsid w:val="00C815A8"/>
    <w:rsid w:val="00C816C8"/>
    <w:rsid w:val="00C81BB3"/>
    <w:rsid w:val="00C81E15"/>
    <w:rsid w:val="00C82088"/>
    <w:rsid w:val="00C8242A"/>
    <w:rsid w:val="00C824B8"/>
    <w:rsid w:val="00C826C4"/>
    <w:rsid w:val="00C82E0D"/>
    <w:rsid w:val="00C82E71"/>
    <w:rsid w:val="00C82ED3"/>
    <w:rsid w:val="00C82FEA"/>
    <w:rsid w:val="00C83370"/>
    <w:rsid w:val="00C838B7"/>
    <w:rsid w:val="00C83EF6"/>
    <w:rsid w:val="00C840D6"/>
    <w:rsid w:val="00C84653"/>
    <w:rsid w:val="00C84E4C"/>
    <w:rsid w:val="00C8516D"/>
    <w:rsid w:val="00C85363"/>
    <w:rsid w:val="00C85BFD"/>
    <w:rsid w:val="00C85FD9"/>
    <w:rsid w:val="00C8685B"/>
    <w:rsid w:val="00C86AD5"/>
    <w:rsid w:val="00C86DE8"/>
    <w:rsid w:val="00C870F8"/>
    <w:rsid w:val="00C873E8"/>
    <w:rsid w:val="00C87B3E"/>
    <w:rsid w:val="00C87D55"/>
    <w:rsid w:val="00C87E2C"/>
    <w:rsid w:val="00C90242"/>
    <w:rsid w:val="00C902C8"/>
    <w:rsid w:val="00C903FE"/>
    <w:rsid w:val="00C90850"/>
    <w:rsid w:val="00C90CB2"/>
    <w:rsid w:val="00C90D9E"/>
    <w:rsid w:val="00C90E39"/>
    <w:rsid w:val="00C917D3"/>
    <w:rsid w:val="00C91FDB"/>
    <w:rsid w:val="00C92203"/>
    <w:rsid w:val="00C92992"/>
    <w:rsid w:val="00C92A0F"/>
    <w:rsid w:val="00C9311B"/>
    <w:rsid w:val="00C93261"/>
    <w:rsid w:val="00C932B6"/>
    <w:rsid w:val="00C93322"/>
    <w:rsid w:val="00C93503"/>
    <w:rsid w:val="00C93B6D"/>
    <w:rsid w:val="00C93B85"/>
    <w:rsid w:val="00C94026"/>
    <w:rsid w:val="00C94189"/>
    <w:rsid w:val="00C9418D"/>
    <w:rsid w:val="00C94295"/>
    <w:rsid w:val="00C945D5"/>
    <w:rsid w:val="00C946D3"/>
    <w:rsid w:val="00C94706"/>
    <w:rsid w:val="00C94B7E"/>
    <w:rsid w:val="00C9518B"/>
    <w:rsid w:val="00C95526"/>
    <w:rsid w:val="00C959EB"/>
    <w:rsid w:val="00C95CF4"/>
    <w:rsid w:val="00C964F0"/>
    <w:rsid w:val="00C965DC"/>
    <w:rsid w:val="00C965E1"/>
    <w:rsid w:val="00C96970"/>
    <w:rsid w:val="00C97191"/>
    <w:rsid w:val="00C9723C"/>
    <w:rsid w:val="00C97325"/>
    <w:rsid w:val="00C976BF"/>
    <w:rsid w:val="00C97E7E"/>
    <w:rsid w:val="00CA1090"/>
    <w:rsid w:val="00CA146F"/>
    <w:rsid w:val="00CA14CB"/>
    <w:rsid w:val="00CA15E2"/>
    <w:rsid w:val="00CA1A7A"/>
    <w:rsid w:val="00CA1BE3"/>
    <w:rsid w:val="00CA20B8"/>
    <w:rsid w:val="00CA2275"/>
    <w:rsid w:val="00CA2547"/>
    <w:rsid w:val="00CA273C"/>
    <w:rsid w:val="00CA3198"/>
    <w:rsid w:val="00CA39BD"/>
    <w:rsid w:val="00CA39C0"/>
    <w:rsid w:val="00CA4075"/>
    <w:rsid w:val="00CA4380"/>
    <w:rsid w:val="00CA444D"/>
    <w:rsid w:val="00CA48EB"/>
    <w:rsid w:val="00CA4AB2"/>
    <w:rsid w:val="00CA4ECD"/>
    <w:rsid w:val="00CA558E"/>
    <w:rsid w:val="00CA57CC"/>
    <w:rsid w:val="00CA602A"/>
    <w:rsid w:val="00CA60A9"/>
    <w:rsid w:val="00CA6329"/>
    <w:rsid w:val="00CA646F"/>
    <w:rsid w:val="00CA6568"/>
    <w:rsid w:val="00CA684E"/>
    <w:rsid w:val="00CA6CA3"/>
    <w:rsid w:val="00CA6D06"/>
    <w:rsid w:val="00CA7683"/>
    <w:rsid w:val="00CA7D5B"/>
    <w:rsid w:val="00CA7EA8"/>
    <w:rsid w:val="00CB00F8"/>
    <w:rsid w:val="00CB081E"/>
    <w:rsid w:val="00CB0E73"/>
    <w:rsid w:val="00CB152D"/>
    <w:rsid w:val="00CB1598"/>
    <w:rsid w:val="00CB1839"/>
    <w:rsid w:val="00CB19EA"/>
    <w:rsid w:val="00CB2525"/>
    <w:rsid w:val="00CB270B"/>
    <w:rsid w:val="00CB2802"/>
    <w:rsid w:val="00CB2C92"/>
    <w:rsid w:val="00CB2E29"/>
    <w:rsid w:val="00CB2EDB"/>
    <w:rsid w:val="00CB3057"/>
    <w:rsid w:val="00CB314D"/>
    <w:rsid w:val="00CB3175"/>
    <w:rsid w:val="00CB3377"/>
    <w:rsid w:val="00CB34D7"/>
    <w:rsid w:val="00CB3775"/>
    <w:rsid w:val="00CB38F4"/>
    <w:rsid w:val="00CB392C"/>
    <w:rsid w:val="00CB3A9C"/>
    <w:rsid w:val="00CB3CBF"/>
    <w:rsid w:val="00CB4233"/>
    <w:rsid w:val="00CB453E"/>
    <w:rsid w:val="00CB49A3"/>
    <w:rsid w:val="00CB4A52"/>
    <w:rsid w:val="00CB4EBF"/>
    <w:rsid w:val="00CB5784"/>
    <w:rsid w:val="00CB5C8B"/>
    <w:rsid w:val="00CB6073"/>
    <w:rsid w:val="00CB61A2"/>
    <w:rsid w:val="00CB61DB"/>
    <w:rsid w:val="00CB6449"/>
    <w:rsid w:val="00CB667C"/>
    <w:rsid w:val="00CB6E46"/>
    <w:rsid w:val="00CB6FE2"/>
    <w:rsid w:val="00CB71A9"/>
    <w:rsid w:val="00CB7245"/>
    <w:rsid w:val="00CB72A0"/>
    <w:rsid w:val="00CB755D"/>
    <w:rsid w:val="00CB7ABF"/>
    <w:rsid w:val="00CB7AD6"/>
    <w:rsid w:val="00CB7AF6"/>
    <w:rsid w:val="00CB7F01"/>
    <w:rsid w:val="00CC0216"/>
    <w:rsid w:val="00CC07AB"/>
    <w:rsid w:val="00CC0814"/>
    <w:rsid w:val="00CC0FCE"/>
    <w:rsid w:val="00CC1A42"/>
    <w:rsid w:val="00CC1CCF"/>
    <w:rsid w:val="00CC1EDF"/>
    <w:rsid w:val="00CC20FD"/>
    <w:rsid w:val="00CC25FA"/>
    <w:rsid w:val="00CC2692"/>
    <w:rsid w:val="00CC29AB"/>
    <w:rsid w:val="00CC2B7E"/>
    <w:rsid w:val="00CC2E51"/>
    <w:rsid w:val="00CC2FF0"/>
    <w:rsid w:val="00CC344A"/>
    <w:rsid w:val="00CC35D5"/>
    <w:rsid w:val="00CC3B60"/>
    <w:rsid w:val="00CC3BF9"/>
    <w:rsid w:val="00CC3D07"/>
    <w:rsid w:val="00CC42F4"/>
    <w:rsid w:val="00CC4A1C"/>
    <w:rsid w:val="00CC4E84"/>
    <w:rsid w:val="00CC519D"/>
    <w:rsid w:val="00CC5462"/>
    <w:rsid w:val="00CC5AB4"/>
    <w:rsid w:val="00CC5F2D"/>
    <w:rsid w:val="00CC612D"/>
    <w:rsid w:val="00CC67EB"/>
    <w:rsid w:val="00CC6867"/>
    <w:rsid w:val="00CC6D8F"/>
    <w:rsid w:val="00CC6E25"/>
    <w:rsid w:val="00CC7454"/>
    <w:rsid w:val="00CC77AB"/>
    <w:rsid w:val="00CC7955"/>
    <w:rsid w:val="00CC7F5E"/>
    <w:rsid w:val="00CD0374"/>
    <w:rsid w:val="00CD07F0"/>
    <w:rsid w:val="00CD0965"/>
    <w:rsid w:val="00CD0D60"/>
    <w:rsid w:val="00CD0F57"/>
    <w:rsid w:val="00CD1096"/>
    <w:rsid w:val="00CD1252"/>
    <w:rsid w:val="00CD14E7"/>
    <w:rsid w:val="00CD15DC"/>
    <w:rsid w:val="00CD1BE2"/>
    <w:rsid w:val="00CD1D31"/>
    <w:rsid w:val="00CD22AC"/>
    <w:rsid w:val="00CD2D86"/>
    <w:rsid w:val="00CD304B"/>
    <w:rsid w:val="00CD341E"/>
    <w:rsid w:val="00CD3594"/>
    <w:rsid w:val="00CD37D8"/>
    <w:rsid w:val="00CD4204"/>
    <w:rsid w:val="00CD4375"/>
    <w:rsid w:val="00CD48B6"/>
    <w:rsid w:val="00CD4976"/>
    <w:rsid w:val="00CD4AD0"/>
    <w:rsid w:val="00CD4CD1"/>
    <w:rsid w:val="00CD53F7"/>
    <w:rsid w:val="00CD5568"/>
    <w:rsid w:val="00CD585F"/>
    <w:rsid w:val="00CD5960"/>
    <w:rsid w:val="00CD5BBD"/>
    <w:rsid w:val="00CD6A69"/>
    <w:rsid w:val="00CD6B6E"/>
    <w:rsid w:val="00CD7BB0"/>
    <w:rsid w:val="00CD7C1F"/>
    <w:rsid w:val="00CD7D55"/>
    <w:rsid w:val="00CE0558"/>
    <w:rsid w:val="00CE0BF8"/>
    <w:rsid w:val="00CE0D83"/>
    <w:rsid w:val="00CE194C"/>
    <w:rsid w:val="00CE1B87"/>
    <w:rsid w:val="00CE2485"/>
    <w:rsid w:val="00CE255F"/>
    <w:rsid w:val="00CE2BE3"/>
    <w:rsid w:val="00CE2BE4"/>
    <w:rsid w:val="00CE35CB"/>
    <w:rsid w:val="00CE38C6"/>
    <w:rsid w:val="00CE38F2"/>
    <w:rsid w:val="00CE39BE"/>
    <w:rsid w:val="00CE3ABD"/>
    <w:rsid w:val="00CE3E9B"/>
    <w:rsid w:val="00CE4170"/>
    <w:rsid w:val="00CE4770"/>
    <w:rsid w:val="00CE50D9"/>
    <w:rsid w:val="00CE5599"/>
    <w:rsid w:val="00CE613C"/>
    <w:rsid w:val="00CE629F"/>
    <w:rsid w:val="00CE6692"/>
    <w:rsid w:val="00CE6717"/>
    <w:rsid w:val="00CE68A3"/>
    <w:rsid w:val="00CE6917"/>
    <w:rsid w:val="00CE6930"/>
    <w:rsid w:val="00CE6C81"/>
    <w:rsid w:val="00CE76A3"/>
    <w:rsid w:val="00CE7C4A"/>
    <w:rsid w:val="00CE7F04"/>
    <w:rsid w:val="00CE7F9B"/>
    <w:rsid w:val="00CF0248"/>
    <w:rsid w:val="00CF0345"/>
    <w:rsid w:val="00CF05FD"/>
    <w:rsid w:val="00CF0839"/>
    <w:rsid w:val="00CF08D2"/>
    <w:rsid w:val="00CF0DA1"/>
    <w:rsid w:val="00CF0E91"/>
    <w:rsid w:val="00CF1156"/>
    <w:rsid w:val="00CF1457"/>
    <w:rsid w:val="00CF15CA"/>
    <w:rsid w:val="00CF16D8"/>
    <w:rsid w:val="00CF16E2"/>
    <w:rsid w:val="00CF1750"/>
    <w:rsid w:val="00CF179B"/>
    <w:rsid w:val="00CF20FD"/>
    <w:rsid w:val="00CF21D9"/>
    <w:rsid w:val="00CF25DB"/>
    <w:rsid w:val="00CF2786"/>
    <w:rsid w:val="00CF2AA6"/>
    <w:rsid w:val="00CF2CA1"/>
    <w:rsid w:val="00CF37A3"/>
    <w:rsid w:val="00CF3BC8"/>
    <w:rsid w:val="00CF43FA"/>
    <w:rsid w:val="00CF44E0"/>
    <w:rsid w:val="00CF4DAD"/>
    <w:rsid w:val="00CF5B98"/>
    <w:rsid w:val="00CF5C4E"/>
    <w:rsid w:val="00CF5EF2"/>
    <w:rsid w:val="00CF5F50"/>
    <w:rsid w:val="00CF5FAA"/>
    <w:rsid w:val="00CF60EA"/>
    <w:rsid w:val="00CF6481"/>
    <w:rsid w:val="00CF681E"/>
    <w:rsid w:val="00CF6990"/>
    <w:rsid w:val="00CF6A4A"/>
    <w:rsid w:val="00CF6A6A"/>
    <w:rsid w:val="00CF6C03"/>
    <w:rsid w:val="00CF6DDF"/>
    <w:rsid w:val="00CF6F6A"/>
    <w:rsid w:val="00CF7356"/>
    <w:rsid w:val="00CF77BF"/>
    <w:rsid w:val="00CF7B35"/>
    <w:rsid w:val="00CF7C1B"/>
    <w:rsid w:val="00CF7D0A"/>
    <w:rsid w:val="00CF7E7C"/>
    <w:rsid w:val="00CF7ED7"/>
    <w:rsid w:val="00D00482"/>
    <w:rsid w:val="00D0063C"/>
    <w:rsid w:val="00D00C98"/>
    <w:rsid w:val="00D02026"/>
    <w:rsid w:val="00D0250E"/>
    <w:rsid w:val="00D02770"/>
    <w:rsid w:val="00D02B20"/>
    <w:rsid w:val="00D02DC3"/>
    <w:rsid w:val="00D031AD"/>
    <w:rsid w:val="00D031D2"/>
    <w:rsid w:val="00D03D78"/>
    <w:rsid w:val="00D03F59"/>
    <w:rsid w:val="00D044EE"/>
    <w:rsid w:val="00D04660"/>
    <w:rsid w:val="00D0478C"/>
    <w:rsid w:val="00D04816"/>
    <w:rsid w:val="00D04A95"/>
    <w:rsid w:val="00D04AAD"/>
    <w:rsid w:val="00D05159"/>
    <w:rsid w:val="00D052B5"/>
    <w:rsid w:val="00D058F7"/>
    <w:rsid w:val="00D05C6B"/>
    <w:rsid w:val="00D05C98"/>
    <w:rsid w:val="00D05DC8"/>
    <w:rsid w:val="00D05EE2"/>
    <w:rsid w:val="00D0610B"/>
    <w:rsid w:val="00D0616F"/>
    <w:rsid w:val="00D061BE"/>
    <w:rsid w:val="00D062D6"/>
    <w:rsid w:val="00D0644E"/>
    <w:rsid w:val="00D06A3C"/>
    <w:rsid w:val="00D06CD7"/>
    <w:rsid w:val="00D06CE1"/>
    <w:rsid w:val="00D0700A"/>
    <w:rsid w:val="00D0797A"/>
    <w:rsid w:val="00D07A33"/>
    <w:rsid w:val="00D07CBB"/>
    <w:rsid w:val="00D100A1"/>
    <w:rsid w:val="00D101C0"/>
    <w:rsid w:val="00D10392"/>
    <w:rsid w:val="00D10603"/>
    <w:rsid w:val="00D108DD"/>
    <w:rsid w:val="00D10BFE"/>
    <w:rsid w:val="00D10C1E"/>
    <w:rsid w:val="00D11500"/>
    <w:rsid w:val="00D116E4"/>
    <w:rsid w:val="00D11888"/>
    <w:rsid w:val="00D120F0"/>
    <w:rsid w:val="00D12283"/>
    <w:rsid w:val="00D1239F"/>
    <w:rsid w:val="00D126C7"/>
    <w:rsid w:val="00D128CD"/>
    <w:rsid w:val="00D12A07"/>
    <w:rsid w:val="00D12FB4"/>
    <w:rsid w:val="00D1391F"/>
    <w:rsid w:val="00D13A81"/>
    <w:rsid w:val="00D13BD0"/>
    <w:rsid w:val="00D13ECF"/>
    <w:rsid w:val="00D14059"/>
    <w:rsid w:val="00D1413B"/>
    <w:rsid w:val="00D14262"/>
    <w:rsid w:val="00D14371"/>
    <w:rsid w:val="00D14CB0"/>
    <w:rsid w:val="00D14F8D"/>
    <w:rsid w:val="00D15313"/>
    <w:rsid w:val="00D1565A"/>
    <w:rsid w:val="00D15A09"/>
    <w:rsid w:val="00D15DE2"/>
    <w:rsid w:val="00D15EB6"/>
    <w:rsid w:val="00D16625"/>
    <w:rsid w:val="00D16838"/>
    <w:rsid w:val="00D16861"/>
    <w:rsid w:val="00D16F1F"/>
    <w:rsid w:val="00D1716B"/>
    <w:rsid w:val="00D17542"/>
    <w:rsid w:val="00D1770B"/>
    <w:rsid w:val="00D17B34"/>
    <w:rsid w:val="00D209B7"/>
    <w:rsid w:val="00D20C5F"/>
    <w:rsid w:val="00D20D33"/>
    <w:rsid w:val="00D20FD0"/>
    <w:rsid w:val="00D20FDB"/>
    <w:rsid w:val="00D210D3"/>
    <w:rsid w:val="00D21159"/>
    <w:rsid w:val="00D212EC"/>
    <w:rsid w:val="00D21304"/>
    <w:rsid w:val="00D2156D"/>
    <w:rsid w:val="00D21A4A"/>
    <w:rsid w:val="00D21FAD"/>
    <w:rsid w:val="00D22598"/>
    <w:rsid w:val="00D226AC"/>
    <w:rsid w:val="00D228FC"/>
    <w:rsid w:val="00D22BA7"/>
    <w:rsid w:val="00D22C4A"/>
    <w:rsid w:val="00D2340B"/>
    <w:rsid w:val="00D23423"/>
    <w:rsid w:val="00D236B9"/>
    <w:rsid w:val="00D23993"/>
    <w:rsid w:val="00D239DB"/>
    <w:rsid w:val="00D23AD9"/>
    <w:rsid w:val="00D23E3B"/>
    <w:rsid w:val="00D23FE2"/>
    <w:rsid w:val="00D24394"/>
    <w:rsid w:val="00D244AF"/>
    <w:rsid w:val="00D24519"/>
    <w:rsid w:val="00D24A08"/>
    <w:rsid w:val="00D24CBE"/>
    <w:rsid w:val="00D252F6"/>
    <w:rsid w:val="00D25702"/>
    <w:rsid w:val="00D25A8D"/>
    <w:rsid w:val="00D25DDA"/>
    <w:rsid w:val="00D25E75"/>
    <w:rsid w:val="00D265AA"/>
    <w:rsid w:val="00D26826"/>
    <w:rsid w:val="00D26A00"/>
    <w:rsid w:val="00D26B78"/>
    <w:rsid w:val="00D26E51"/>
    <w:rsid w:val="00D2721B"/>
    <w:rsid w:val="00D27BED"/>
    <w:rsid w:val="00D27C8E"/>
    <w:rsid w:val="00D27F62"/>
    <w:rsid w:val="00D304FD"/>
    <w:rsid w:val="00D307B0"/>
    <w:rsid w:val="00D30A15"/>
    <w:rsid w:val="00D30AB6"/>
    <w:rsid w:val="00D30F9D"/>
    <w:rsid w:val="00D3114F"/>
    <w:rsid w:val="00D31520"/>
    <w:rsid w:val="00D31522"/>
    <w:rsid w:val="00D31713"/>
    <w:rsid w:val="00D31CDF"/>
    <w:rsid w:val="00D32534"/>
    <w:rsid w:val="00D3267E"/>
    <w:rsid w:val="00D32987"/>
    <w:rsid w:val="00D329A1"/>
    <w:rsid w:val="00D32AF8"/>
    <w:rsid w:val="00D331C7"/>
    <w:rsid w:val="00D333C3"/>
    <w:rsid w:val="00D33594"/>
    <w:rsid w:val="00D34334"/>
    <w:rsid w:val="00D34466"/>
    <w:rsid w:val="00D345B0"/>
    <w:rsid w:val="00D34EF6"/>
    <w:rsid w:val="00D34EFA"/>
    <w:rsid w:val="00D351A2"/>
    <w:rsid w:val="00D358D3"/>
    <w:rsid w:val="00D35F85"/>
    <w:rsid w:val="00D35FAC"/>
    <w:rsid w:val="00D362BE"/>
    <w:rsid w:val="00D36525"/>
    <w:rsid w:val="00D366D2"/>
    <w:rsid w:val="00D36AA2"/>
    <w:rsid w:val="00D375CC"/>
    <w:rsid w:val="00D376D6"/>
    <w:rsid w:val="00D37D46"/>
    <w:rsid w:val="00D405EC"/>
    <w:rsid w:val="00D40A48"/>
    <w:rsid w:val="00D40B35"/>
    <w:rsid w:val="00D416C0"/>
    <w:rsid w:val="00D419DD"/>
    <w:rsid w:val="00D41DF1"/>
    <w:rsid w:val="00D425E9"/>
    <w:rsid w:val="00D429A1"/>
    <w:rsid w:val="00D42B78"/>
    <w:rsid w:val="00D42CE8"/>
    <w:rsid w:val="00D4335A"/>
    <w:rsid w:val="00D43748"/>
    <w:rsid w:val="00D4376E"/>
    <w:rsid w:val="00D439ED"/>
    <w:rsid w:val="00D43C10"/>
    <w:rsid w:val="00D43E7B"/>
    <w:rsid w:val="00D43F66"/>
    <w:rsid w:val="00D44206"/>
    <w:rsid w:val="00D443CA"/>
    <w:rsid w:val="00D445D2"/>
    <w:rsid w:val="00D44CC3"/>
    <w:rsid w:val="00D45026"/>
    <w:rsid w:val="00D451CC"/>
    <w:rsid w:val="00D45205"/>
    <w:rsid w:val="00D452A0"/>
    <w:rsid w:val="00D465DC"/>
    <w:rsid w:val="00D467FF"/>
    <w:rsid w:val="00D46963"/>
    <w:rsid w:val="00D469FB"/>
    <w:rsid w:val="00D46A73"/>
    <w:rsid w:val="00D46F87"/>
    <w:rsid w:val="00D47E28"/>
    <w:rsid w:val="00D50470"/>
    <w:rsid w:val="00D505E2"/>
    <w:rsid w:val="00D50A51"/>
    <w:rsid w:val="00D50F4B"/>
    <w:rsid w:val="00D51789"/>
    <w:rsid w:val="00D51821"/>
    <w:rsid w:val="00D5186F"/>
    <w:rsid w:val="00D52054"/>
    <w:rsid w:val="00D52299"/>
    <w:rsid w:val="00D524DA"/>
    <w:rsid w:val="00D525CA"/>
    <w:rsid w:val="00D526C5"/>
    <w:rsid w:val="00D52B1B"/>
    <w:rsid w:val="00D52B3A"/>
    <w:rsid w:val="00D52C4C"/>
    <w:rsid w:val="00D52DD8"/>
    <w:rsid w:val="00D52E39"/>
    <w:rsid w:val="00D52FCC"/>
    <w:rsid w:val="00D53481"/>
    <w:rsid w:val="00D53560"/>
    <w:rsid w:val="00D5378A"/>
    <w:rsid w:val="00D540AC"/>
    <w:rsid w:val="00D54319"/>
    <w:rsid w:val="00D546A4"/>
    <w:rsid w:val="00D549DD"/>
    <w:rsid w:val="00D54A89"/>
    <w:rsid w:val="00D54BF4"/>
    <w:rsid w:val="00D55114"/>
    <w:rsid w:val="00D5513F"/>
    <w:rsid w:val="00D55549"/>
    <w:rsid w:val="00D55724"/>
    <w:rsid w:val="00D558C1"/>
    <w:rsid w:val="00D55C66"/>
    <w:rsid w:val="00D5613E"/>
    <w:rsid w:val="00D56440"/>
    <w:rsid w:val="00D56546"/>
    <w:rsid w:val="00D56677"/>
    <w:rsid w:val="00D570BD"/>
    <w:rsid w:val="00D57104"/>
    <w:rsid w:val="00D57644"/>
    <w:rsid w:val="00D5766E"/>
    <w:rsid w:val="00D57E91"/>
    <w:rsid w:val="00D6052F"/>
    <w:rsid w:val="00D60D6B"/>
    <w:rsid w:val="00D60E4E"/>
    <w:rsid w:val="00D60FC8"/>
    <w:rsid w:val="00D61213"/>
    <w:rsid w:val="00D6125F"/>
    <w:rsid w:val="00D6126B"/>
    <w:rsid w:val="00D6128B"/>
    <w:rsid w:val="00D61663"/>
    <w:rsid w:val="00D61929"/>
    <w:rsid w:val="00D61D11"/>
    <w:rsid w:val="00D61D2F"/>
    <w:rsid w:val="00D61E0C"/>
    <w:rsid w:val="00D621A6"/>
    <w:rsid w:val="00D62282"/>
    <w:rsid w:val="00D623BC"/>
    <w:rsid w:val="00D6247C"/>
    <w:rsid w:val="00D62542"/>
    <w:rsid w:val="00D62638"/>
    <w:rsid w:val="00D62904"/>
    <w:rsid w:val="00D62A29"/>
    <w:rsid w:val="00D62A5F"/>
    <w:rsid w:val="00D62F58"/>
    <w:rsid w:val="00D62FDE"/>
    <w:rsid w:val="00D632B2"/>
    <w:rsid w:val="00D6350C"/>
    <w:rsid w:val="00D637D4"/>
    <w:rsid w:val="00D6431B"/>
    <w:rsid w:val="00D643D1"/>
    <w:rsid w:val="00D64B87"/>
    <w:rsid w:val="00D64C02"/>
    <w:rsid w:val="00D64E50"/>
    <w:rsid w:val="00D65940"/>
    <w:rsid w:val="00D65969"/>
    <w:rsid w:val="00D65C56"/>
    <w:rsid w:val="00D65EEB"/>
    <w:rsid w:val="00D66777"/>
    <w:rsid w:val="00D66A3A"/>
    <w:rsid w:val="00D6706F"/>
    <w:rsid w:val="00D67236"/>
    <w:rsid w:val="00D673D6"/>
    <w:rsid w:val="00D67791"/>
    <w:rsid w:val="00D67DA4"/>
    <w:rsid w:val="00D67E7D"/>
    <w:rsid w:val="00D70241"/>
    <w:rsid w:val="00D70537"/>
    <w:rsid w:val="00D7058A"/>
    <w:rsid w:val="00D705C4"/>
    <w:rsid w:val="00D70BD9"/>
    <w:rsid w:val="00D70E9A"/>
    <w:rsid w:val="00D70EE9"/>
    <w:rsid w:val="00D70F67"/>
    <w:rsid w:val="00D7123B"/>
    <w:rsid w:val="00D7130E"/>
    <w:rsid w:val="00D71383"/>
    <w:rsid w:val="00D71842"/>
    <w:rsid w:val="00D71AAB"/>
    <w:rsid w:val="00D72520"/>
    <w:rsid w:val="00D72A90"/>
    <w:rsid w:val="00D72BF1"/>
    <w:rsid w:val="00D7317E"/>
    <w:rsid w:val="00D7357E"/>
    <w:rsid w:val="00D73ED9"/>
    <w:rsid w:val="00D74640"/>
    <w:rsid w:val="00D7491A"/>
    <w:rsid w:val="00D74D09"/>
    <w:rsid w:val="00D7587A"/>
    <w:rsid w:val="00D762EE"/>
    <w:rsid w:val="00D766EB"/>
    <w:rsid w:val="00D76814"/>
    <w:rsid w:val="00D76D63"/>
    <w:rsid w:val="00D76D79"/>
    <w:rsid w:val="00D770F1"/>
    <w:rsid w:val="00D7753B"/>
    <w:rsid w:val="00D80682"/>
    <w:rsid w:val="00D824C3"/>
    <w:rsid w:val="00D82E93"/>
    <w:rsid w:val="00D82FCA"/>
    <w:rsid w:val="00D8382F"/>
    <w:rsid w:val="00D83E2F"/>
    <w:rsid w:val="00D84886"/>
    <w:rsid w:val="00D84D87"/>
    <w:rsid w:val="00D84E0F"/>
    <w:rsid w:val="00D84EA0"/>
    <w:rsid w:val="00D850CB"/>
    <w:rsid w:val="00D850F3"/>
    <w:rsid w:val="00D855EF"/>
    <w:rsid w:val="00D85BF9"/>
    <w:rsid w:val="00D85CA3"/>
    <w:rsid w:val="00D85E2F"/>
    <w:rsid w:val="00D86227"/>
    <w:rsid w:val="00D8653C"/>
    <w:rsid w:val="00D86798"/>
    <w:rsid w:val="00D86EE1"/>
    <w:rsid w:val="00D8745E"/>
    <w:rsid w:val="00D8756A"/>
    <w:rsid w:val="00D875F5"/>
    <w:rsid w:val="00D87838"/>
    <w:rsid w:val="00D87866"/>
    <w:rsid w:val="00D87A92"/>
    <w:rsid w:val="00D87B08"/>
    <w:rsid w:val="00D87D0B"/>
    <w:rsid w:val="00D90201"/>
    <w:rsid w:val="00D9093A"/>
    <w:rsid w:val="00D90AA8"/>
    <w:rsid w:val="00D90C7F"/>
    <w:rsid w:val="00D90DB3"/>
    <w:rsid w:val="00D91120"/>
    <w:rsid w:val="00D9121D"/>
    <w:rsid w:val="00D91419"/>
    <w:rsid w:val="00D914FD"/>
    <w:rsid w:val="00D916A9"/>
    <w:rsid w:val="00D9193E"/>
    <w:rsid w:val="00D91B73"/>
    <w:rsid w:val="00D9286D"/>
    <w:rsid w:val="00D92FAD"/>
    <w:rsid w:val="00D930D3"/>
    <w:rsid w:val="00D9314C"/>
    <w:rsid w:val="00D934FA"/>
    <w:rsid w:val="00D93774"/>
    <w:rsid w:val="00D943D4"/>
    <w:rsid w:val="00D944C6"/>
    <w:rsid w:val="00D9492F"/>
    <w:rsid w:val="00D94E1D"/>
    <w:rsid w:val="00D94EF4"/>
    <w:rsid w:val="00D953B8"/>
    <w:rsid w:val="00D95744"/>
    <w:rsid w:val="00D9581F"/>
    <w:rsid w:val="00D95A2D"/>
    <w:rsid w:val="00D95CB8"/>
    <w:rsid w:val="00D95D38"/>
    <w:rsid w:val="00D96174"/>
    <w:rsid w:val="00D961C7"/>
    <w:rsid w:val="00D961D4"/>
    <w:rsid w:val="00D962D8"/>
    <w:rsid w:val="00D963C2"/>
    <w:rsid w:val="00D96B7A"/>
    <w:rsid w:val="00D96F94"/>
    <w:rsid w:val="00D97054"/>
    <w:rsid w:val="00D97187"/>
    <w:rsid w:val="00D97279"/>
    <w:rsid w:val="00D978A4"/>
    <w:rsid w:val="00D97CEF"/>
    <w:rsid w:val="00DA0422"/>
    <w:rsid w:val="00DA13E3"/>
    <w:rsid w:val="00DA15D7"/>
    <w:rsid w:val="00DA278C"/>
    <w:rsid w:val="00DA2A02"/>
    <w:rsid w:val="00DA2C66"/>
    <w:rsid w:val="00DA2DBC"/>
    <w:rsid w:val="00DA313D"/>
    <w:rsid w:val="00DA33C9"/>
    <w:rsid w:val="00DA34FD"/>
    <w:rsid w:val="00DA36D5"/>
    <w:rsid w:val="00DA3FD1"/>
    <w:rsid w:val="00DA41C9"/>
    <w:rsid w:val="00DA4983"/>
    <w:rsid w:val="00DA49EE"/>
    <w:rsid w:val="00DA4AE1"/>
    <w:rsid w:val="00DA4B03"/>
    <w:rsid w:val="00DA4BE4"/>
    <w:rsid w:val="00DA4C66"/>
    <w:rsid w:val="00DA4C90"/>
    <w:rsid w:val="00DA4F2B"/>
    <w:rsid w:val="00DA5561"/>
    <w:rsid w:val="00DA5D8F"/>
    <w:rsid w:val="00DA6245"/>
    <w:rsid w:val="00DA63D8"/>
    <w:rsid w:val="00DA6DFE"/>
    <w:rsid w:val="00DA712A"/>
    <w:rsid w:val="00DA7345"/>
    <w:rsid w:val="00DA7A5D"/>
    <w:rsid w:val="00DA7B5C"/>
    <w:rsid w:val="00DB022A"/>
    <w:rsid w:val="00DB0268"/>
    <w:rsid w:val="00DB09C3"/>
    <w:rsid w:val="00DB0C4C"/>
    <w:rsid w:val="00DB0FA2"/>
    <w:rsid w:val="00DB11E9"/>
    <w:rsid w:val="00DB154F"/>
    <w:rsid w:val="00DB17DC"/>
    <w:rsid w:val="00DB1B76"/>
    <w:rsid w:val="00DB23E7"/>
    <w:rsid w:val="00DB25B3"/>
    <w:rsid w:val="00DB29BA"/>
    <w:rsid w:val="00DB2A8B"/>
    <w:rsid w:val="00DB2C48"/>
    <w:rsid w:val="00DB2ECB"/>
    <w:rsid w:val="00DB372F"/>
    <w:rsid w:val="00DB3859"/>
    <w:rsid w:val="00DB3C1C"/>
    <w:rsid w:val="00DB3EE1"/>
    <w:rsid w:val="00DB3FED"/>
    <w:rsid w:val="00DB449F"/>
    <w:rsid w:val="00DB4F9C"/>
    <w:rsid w:val="00DB51BC"/>
    <w:rsid w:val="00DB5867"/>
    <w:rsid w:val="00DB59FF"/>
    <w:rsid w:val="00DB60E5"/>
    <w:rsid w:val="00DB635F"/>
    <w:rsid w:val="00DB6BFC"/>
    <w:rsid w:val="00DB6DB6"/>
    <w:rsid w:val="00DB7585"/>
    <w:rsid w:val="00DB7E3E"/>
    <w:rsid w:val="00DC0228"/>
    <w:rsid w:val="00DC0402"/>
    <w:rsid w:val="00DC0462"/>
    <w:rsid w:val="00DC05F8"/>
    <w:rsid w:val="00DC061A"/>
    <w:rsid w:val="00DC08BE"/>
    <w:rsid w:val="00DC0B66"/>
    <w:rsid w:val="00DC111D"/>
    <w:rsid w:val="00DC129D"/>
    <w:rsid w:val="00DC12E6"/>
    <w:rsid w:val="00DC13D0"/>
    <w:rsid w:val="00DC1A45"/>
    <w:rsid w:val="00DC1BCD"/>
    <w:rsid w:val="00DC1C8E"/>
    <w:rsid w:val="00DC2118"/>
    <w:rsid w:val="00DC23AA"/>
    <w:rsid w:val="00DC278E"/>
    <w:rsid w:val="00DC29A4"/>
    <w:rsid w:val="00DC2ABA"/>
    <w:rsid w:val="00DC2AC4"/>
    <w:rsid w:val="00DC2C4B"/>
    <w:rsid w:val="00DC3034"/>
    <w:rsid w:val="00DC313F"/>
    <w:rsid w:val="00DC399B"/>
    <w:rsid w:val="00DC3C3C"/>
    <w:rsid w:val="00DC3F58"/>
    <w:rsid w:val="00DC3F6E"/>
    <w:rsid w:val="00DC54A8"/>
    <w:rsid w:val="00DC5A97"/>
    <w:rsid w:val="00DC6190"/>
    <w:rsid w:val="00DC61B5"/>
    <w:rsid w:val="00DC631D"/>
    <w:rsid w:val="00DC6444"/>
    <w:rsid w:val="00DC685E"/>
    <w:rsid w:val="00DC6FC7"/>
    <w:rsid w:val="00DC7670"/>
    <w:rsid w:val="00DC7996"/>
    <w:rsid w:val="00DC7F5E"/>
    <w:rsid w:val="00DC7FB1"/>
    <w:rsid w:val="00DD012B"/>
    <w:rsid w:val="00DD0A99"/>
    <w:rsid w:val="00DD0EDB"/>
    <w:rsid w:val="00DD1067"/>
    <w:rsid w:val="00DD1B01"/>
    <w:rsid w:val="00DD1CDE"/>
    <w:rsid w:val="00DD1DC6"/>
    <w:rsid w:val="00DD1E52"/>
    <w:rsid w:val="00DD1F1A"/>
    <w:rsid w:val="00DD2776"/>
    <w:rsid w:val="00DD289B"/>
    <w:rsid w:val="00DD29AC"/>
    <w:rsid w:val="00DD2A2E"/>
    <w:rsid w:val="00DD2A76"/>
    <w:rsid w:val="00DD2C2F"/>
    <w:rsid w:val="00DD2FD5"/>
    <w:rsid w:val="00DD3267"/>
    <w:rsid w:val="00DD33E0"/>
    <w:rsid w:val="00DD3A74"/>
    <w:rsid w:val="00DD3D73"/>
    <w:rsid w:val="00DD418D"/>
    <w:rsid w:val="00DD420D"/>
    <w:rsid w:val="00DD4453"/>
    <w:rsid w:val="00DD47A7"/>
    <w:rsid w:val="00DD48E4"/>
    <w:rsid w:val="00DD4BB0"/>
    <w:rsid w:val="00DD4C10"/>
    <w:rsid w:val="00DD4F0B"/>
    <w:rsid w:val="00DD4F25"/>
    <w:rsid w:val="00DD4F39"/>
    <w:rsid w:val="00DD5016"/>
    <w:rsid w:val="00DD5205"/>
    <w:rsid w:val="00DD5284"/>
    <w:rsid w:val="00DD52AF"/>
    <w:rsid w:val="00DD52D4"/>
    <w:rsid w:val="00DD5454"/>
    <w:rsid w:val="00DD554C"/>
    <w:rsid w:val="00DD56FB"/>
    <w:rsid w:val="00DD5DE8"/>
    <w:rsid w:val="00DD60AE"/>
    <w:rsid w:val="00DD63E1"/>
    <w:rsid w:val="00DD67F2"/>
    <w:rsid w:val="00DD70E9"/>
    <w:rsid w:val="00DD7371"/>
    <w:rsid w:val="00DD73C9"/>
    <w:rsid w:val="00DD766E"/>
    <w:rsid w:val="00DD76B5"/>
    <w:rsid w:val="00DD77B3"/>
    <w:rsid w:val="00DD77E2"/>
    <w:rsid w:val="00DD7D4D"/>
    <w:rsid w:val="00DE0112"/>
    <w:rsid w:val="00DE03B9"/>
    <w:rsid w:val="00DE04F5"/>
    <w:rsid w:val="00DE0588"/>
    <w:rsid w:val="00DE09BD"/>
    <w:rsid w:val="00DE0D02"/>
    <w:rsid w:val="00DE101D"/>
    <w:rsid w:val="00DE127C"/>
    <w:rsid w:val="00DE13B7"/>
    <w:rsid w:val="00DE1AC0"/>
    <w:rsid w:val="00DE1F41"/>
    <w:rsid w:val="00DE1FBE"/>
    <w:rsid w:val="00DE1FDF"/>
    <w:rsid w:val="00DE243F"/>
    <w:rsid w:val="00DE28D4"/>
    <w:rsid w:val="00DE2AE8"/>
    <w:rsid w:val="00DE2D11"/>
    <w:rsid w:val="00DE3751"/>
    <w:rsid w:val="00DE37E9"/>
    <w:rsid w:val="00DE3803"/>
    <w:rsid w:val="00DE3D43"/>
    <w:rsid w:val="00DE3D7A"/>
    <w:rsid w:val="00DE3EED"/>
    <w:rsid w:val="00DE4069"/>
    <w:rsid w:val="00DE43B7"/>
    <w:rsid w:val="00DE4BDA"/>
    <w:rsid w:val="00DE4E89"/>
    <w:rsid w:val="00DE4ECA"/>
    <w:rsid w:val="00DE4F77"/>
    <w:rsid w:val="00DE53E7"/>
    <w:rsid w:val="00DE571B"/>
    <w:rsid w:val="00DE5E9C"/>
    <w:rsid w:val="00DE6B9D"/>
    <w:rsid w:val="00DE6C7A"/>
    <w:rsid w:val="00DE6E08"/>
    <w:rsid w:val="00DE6EEB"/>
    <w:rsid w:val="00DE6EFA"/>
    <w:rsid w:val="00DE7015"/>
    <w:rsid w:val="00DE766F"/>
    <w:rsid w:val="00DE7870"/>
    <w:rsid w:val="00DE7980"/>
    <w:rsid w:val="00DE7E52"/>
    <w:rsid w:val="00DE7F4C"/>
    <w:rsid w:val="00DF0121"/>
    <w:rsid w:val="00DF019A"/>
    <w:rsid w:val="00DF09FC"/>
    <w:rsid w:val="00DF0A5D"/>
    <w:rsid w:val="00DF0C6F"/>
    <w:rsid w:val="00DF1054"/>
    <w:rsid w:val="00DF157E"/>
    <w:rsid w:val="00DF15D7"/>
    <w:rsid w:val="00DF1F23"/>
    <w:rsid w:val="00DF205B"/>
    <w:rsid w:val="00DF26A6"/>
    <w:rsid w:val="00DF297D"/>
    <w:rsid w:val="00DF3CEC"/>
    <w:rsid w:val="00DF470D"/>
    <w:rsid w:val="00DF4E64"/>
    <w:rsid w:val="00DF5417"/>
    <w:rsid w:val="00DF587B"/>
    <w:rsid w:val="00DF627E"/>
    <w:rsid w:val="00DF6455"/>
    <w:rsid w:val="00DF6822"/>
    <w:rsid w:val="00DF6D45"/>
    <w:rsid w:val="00DF6D72"/>
    <w:rsid w:val="00DF6DBA"/>
    <w:rsid w:val="00DF70F1"/>
    <w:rsid w:val="00DF771E"/>
    <w:rsid w:val="00DF781A"/>
    <w:rsid w:val="00DF7955"/>
    <w:rsid w:val="00DF7D45"/>
    <w:rsid w:val="00DF7ED6"/>
    <w:rsid w:val="00E0033C"/>
    <w:rsid w:val="00E00345"/>
    <w:rsid w:val="00E00E5C"/>
    <w:rsid w:val="00E01378"/>
    <w:rsid w:val="00E02081"/>
    <w:rsid w:val="00E0294A"/>
    <w:rsid w:val="00E02AFF"/>
    <w:rsid w:val="00E02BB2"/>
    <w:rsid w:val="00E0335F"/>
    <w:rsid w:val="00E033E1"/>
    <w:rsid w:val="00E034C8"/>
    <w:rsid w:val="00E03A3B"/>
    <w:rsid w:val="00E03A58"/>
    <w:rsid w:val="00E0423B"/>
    <w:rsid w:val="00E04284"/>
    <w:rsid w:val="00E0472F"/>
    <w:rsid w:val="00E047DB"/>
    <w:rsid w:val="00E05775"/>
    <w:rsid w:val="00E06008"/>
    <w:rsid w:val="00E06077"/>
    <w:rsid w:val="00E063A7"/>
    <w:rsid w:val="00E06996"/>
    <w:rsid w:val="00E069E4"/>
    <w:rsid w:val="00E06BDC"/>
    <w:rsid w:val="00E06D3C"/>
    <w:rsid w:val="00E06D56"/>
    <w:rsid w:val="00E07021"/>
    <w:rsid w:val="00E07074"/>
    <w:rsid w:val="00E0781A"/>
    <w:rsid w:val="00E079C2"/>
    <w:rsid w:val="00E079E4"/>
    <w:rsid w:val="00E1035D"/>
    <w:rsid w:val="00E11236"/>
    <w:rsid w:val="00E1133B"/>
    <w:rsid w:val="00E11523"/>
    <w:rsid w:val="00E1188F"/>
    <w:rsid w:val="00E12951"/>
    <w:rsid w:val="00E1308F"/>
    <w:rsid w:val="00E131EB"/>
    <w:rsid w:val="00E13442"/>
    <w:rsid w:val="00E134C2"/>
    <w:rsid w:val="00E135A0"/>
    <w:rsid w:val="00E13718"/>
    <w:rsid w:val="00E13937"/>
    <w:rsid w:val="00E1398E"/>
    <w:rsid w:val="00E13C2F"/>
    <w:rsid w:val="00E141CD"/>
    <w:rsid w:val="00E14715"/>
    <w:rsid w:val="00E14C01"/>
    <w:rsid w:val="00E14C83"/>
    <w:rsid w:val="00E15356"/>
    <w:rsid w:val="00E153DD"/>
    <w:rsid w:val="00E15D79"/>
    <w:rsid w:val="00E1671A"/>
    <w:rsid w:val="00E168A9"/>
    <w:rsid w:val="00E16A77"/>
    <w:rsid w:val="00E16CF3"/>
    <w:rsid w:val="00E16CF7"/>
    <w:rsid w:val="00E17AC8"/>
    <w:rsid w:val="00E17C74"/>
    <w:rsid w:val="00E206EB"/>
    <w:rsid w:val="00E20D0A"/>
    <w:rsid w:val="00E20D95"/>
    <w:rsid w:val="00E20F24"/>
    <w:rsid w:val="00E21634"/>
    <w:rsid w:val="00E219C0"/>
    <w:rsid w:val="00E21AC6"/>
    <w:rsid w:val="00E21B43"/>
    <w:rsid w:val="00E223F8"/>
    <w:rsid w:val="00E224F0"/>
    <w:rsid w:val="00E22965"/>
    <w:rsid w:val="00E22CC0"/>
    <w:rsid w:val="00E22D36"/>
    <w:rsid w:val="00E22D39"/>
    <w:rsid w:val="00E22D4E"/>
    <w:rsid w:val="00E22F56"/>
    <w:rsid w:val="00E23A38"/>
    <w:rsid w:val="00E23C6E"/>
    <w:rsid w:val="00E23D9D"/>
    <w:rsid w:val="00E242CA"/>
    <w:rsid w:val="00E248FA"/>
    <w:rsid w:val="00E24A2A"/>
    <w:rsid w:val="00E24C6B"/>
    <w:rsid w:val="00E24D61"/>
    <w:rsid w:val="00E25033"/>
    <w:rsid w:val="00E25181"/>
    <w:rsid w:val="00E251D3"/>
    <w:rsid w:val="00E25515"/>
    <w:rsid w:val="00E2591D"/>
    <w:rsid w:val="00E25CB2"/>
    <w:rsid w:val="00E26626"/>
    <w:rsid w:val="00E26832"/>
    <w:rsid w:val="00E269C2"/>
    <w:rsid w:val="00E26ACE"/>
    <w:rsid w:val="00E26C0B"/>
    <w:rsid w:val="00E26FAA"/>
    <w:rsid w:val="00E2706D"/>
    <w:rsid w:val="00E2749B"/>
    <w:rsid w:val="00E2755D"/>
    <w:rsid w:val="00E275B3"/>
    <w:rsid w:val="00E27602"/>
    <w:rsid w:val="00E27741"/>
    <w:rsid w:val="00E27F9E"/>
    <w:rsid w:val="00E27FCF"/>
    <w:rsid w:val="00E3001B"/>
    <w:rsid w:val="00E3021E"/>
    <w:rsid w:val="00E30828"/>
    <w:rsid w:val="00E30A9F"/>
    <w:rsid w:val="00E30B68"/>
    <w:rsid w:val="00E3193C"/>
    <w:rsid w:val="00E31BD1"/>
    <w:rsid w:val="00E31BF1"/>
    <w:rsid w:val="00E323CC"/>
    <w:rsid w:val="00E32483"/>
    <w:rsid w:val="00E32663"/>
    <w:rsid w:val="00E326FA"/>
    <w:rsid w:val="00E3272C"/>
    <w:rsid w:val="00E3278B"/>
    <w:rsid w:val="00E32AAC"/>
    <w:rsid w:val="00E32D91"/>
    <w:rsid w:val="00E330E8"/>
    <w:rsid w:val="00E333B9"/>
    <w:rsid w:val="00E33712"/>
    <w:rsid w:val="00E3390D"/>
    <w:rsid w:val="00E33932"/>
    <w:rsid w:val="00E33A00"/>
    <w:rsid w:val="00E3407E"/>
    <w:rsid w:val="00E340C2"/>
    <w:rsid w:val="00E3451E"/>
    <w:rsid w:val="00E3465D"/>
    <w:rsid w:val="00E346EE"/>
    <w:rsid w:val="00E3473A"/>
    <w:rsid w:val="00E348B8"/>
    <w:rsid w:val="00E34DEF"/>
    <w:rsid w:val="00E34E62"/>
    <w:rsid w:val="00E34E77"/>
    <w:rsid w:val="00E350A7"/>
    <w:rsid w:val="00E3525D"/>
    <w:rsid w:val="00E35330"/>
    <w:rsid w:val="00E353E8"/>
    <w:rsid w:val="00E3565E"/>
    <w:rsid w:val="00E35BF8"/>
    <w:rsid w:val="00E35C4C"/>
    <w:rsid w:val="00E36430"/>
    <w:rsid w:val="00E3679F"/>
    <w:rsid w:val="00E36981"/>
    <w:rsid w:val="00E36A3A"/>
    <w:rsid w:val="00E36FA4"/>
    <w:rsid w:val="00E37187"/>
    <w:rsid w:val="00E372C6"/>
    <w:rsid w:val="00E374E8"/>
    <w:rsid w:val="00E374EA"/>
    <w:rsid w:val="00E37824"/>
    <w:rsid w:val="00E37A1C"/>
    <w:rsid w:val="00E37ACB"/>
    <w:rsid w:val="00E37C82"/>
    <w:rsid w:val="00E37F24"/>
    <w:rsid w:val="00E40067"/>
    <w:rsid w:val="00E40294"/>
    <w:rsid w:val="00E40551"/>
    <w:rsid w:val="00E40627"/>
    <w:rsid w:val="00E40642"/>
    <w:rsid w:val="00E40721"/>
    <w:rsid w:val="00E40E1F"/>
    <w:rsid w:val="00E40EF0"/>
    <w:rsid w:val="00E40FEB"/>
    <w:rsid w:val="00E4111B"/>
    <w:rsid w:val="00E4111E"/>
    <w:rsid w:val="00E41132"/>
    <w:rsid w:val="00E41C0C"/>
    <w:rsid w:val="00E42607"/>
    <w:rsid w:val="00E42F00"/>
    <w:rsid w:val="00E430B9"/>
    <w:rsid w:val="00E433AA"/>
    <w:rsid w:val="00E435CD"/>
    <w:rsid w:val="00E435F3"/>
    <w:rsid w:val="00E4361D"/>
    <w:rsid w:val="00E43A89"/>
    <w:rsid w:val="00E448D9"/>
    <w:rsid w:val="00E4497D"/>
    <w:rsid w:val="00E44BBF"/>
    <w:rsid w:val="00E44C28"/>
    <w:rsid w:val="00E44E24"/>
    <w:rsid w:val="00E453AA"/>
    <w:rsid w:val="00E453B3"/>
    <w:rsid w:val="00E45D80"/>
    <w:rsid w:val="00E45EB4"/>
    <w:rsid w:val="00E46583"/>
    <w:rsid w:val="00E4665C"/>
    <w:rsid w:val="00E4670B"/>
    <w:rsid w:val="00E46C85"/>
    <w:rsid w:val="00E47073"/>
    <w:rsid w:val="00E47AEE"/>
    <w:rsid w:val="00E47BDC"/>
    <w:rsid w:val="00E47C96"/>
    <w:rsid w:val="00E47F78"/>
    <w:rsid w:val="00E5018D"/>
    <w:rsid w:val="00E50783"/>
    <w:rsid w:val="00E50A64"/>
    <w:rsid w:val="00E511D2"/>
    <w:rsid w:val="00E5124A"/>
    <w:rsid w:val="00E51947"/>
    <w:rsid w:val="00E51D59"/>
    <w:rsid w:val="00E522AC"/>
    <w:rsid w:val="00E52607"/>
    <w:rsid w:val="00E52CB8"/>
    <w:rsid w:val="00E52F8D"/>
    <w:rsid w:val="00E53621"/>
    <w:rsid w:val="00E539BF"/>
    <w:rsid w:val="00E541CA"/>
    <w:rsid w:val="00E54276"/>
    <w:rsid w:val="00E5449A"/>
    <w:rsid w:val="00E54871"/>
    <w:rsid w:val="00E548A7"/>
    <w:rsid w:val="00E54A16"/>
    <w:rsid w:val="00E55A38"/>
    <w:rsid w:val="00E55A4A"/>
    <w:rsid w:val="00E55BB5"/>
    <w:rsid w:val="00E55C66"/>
    <w:rsid w:val="00E55EFE"/>
    <w:rsid w:val="00E56156"/>
    <w:rsid w:val="00E5632B"/>
    <w:rsid w:val="00E5704D"/>
    <w:rsid w:val="00E57297"/>
    <w:rsid w:val="00E57925"/>
    <w:rsid w:val="00E57B2B"/>
    <w:rsid w:val="00E6021F"/>
    <w:rsid w:val="00E60517"/>
    <w:rsid w:val="00E60790"/>
    <w:rsid w:val="00E60796"/>
    <w:rsid w:val="00E60BBC"/>
    <w:rsid w:val="00E60C7F"/>
    <w:rsid w:val="00E61360"/>
    <w:rsid w:val="00E616CF"/>
    <w:rsid w:val="00E61818"/>
    <w:rsid w:val="00E618E5"/>
    <w:rsid w:val="00E627CD"/>
    <w:rsid w:val="00E62857"/>
    <w:rsid w:val="00E62986"/>
    <w:rsid w:val="00E62E96"/>
    <w:rsid w:val="00E637E9"/>
    <w:rsid w:val="00E63C8D"/>
    <w:rsid w:val="00E643C3"/>
    <w:rsid w:val="00E645AB"/>
    <w:rsid w:val="00E647FC"/>
    <w:rsid w:val="00E64B9D"/>
    <w:rsid w:val="00E64CFB"/>
    <w:rsid w:val="00E65162"/>
    <w:rsid w:val="00E6519A"/>
    <w:rsid w:val="00E657EF"/>
    <w:rsid w:val="00E65DB4"/>
    <w:rsid w:val="00E66128"/>
    <w:rsid w:val="00E6625D"/>
    <w:rsid w:val="00E667CD"/>
    <w:rsid w:val="00E66BC0"/>
    <w:rsid w:val="00E675C7"/>
    <w:rsid w:val="00E67A7F"/>
    <w:rsid w:val="00E67ED6"/>
    <w:rsid w:val="00E70163"/>
    <w:rsid w:val="00E7061C"/>
    <w:rsid w:val="00E70998"/>
    <w:rsid w:val="00E7101D"/>
    <w:rsid w:val="00E7153C"/>
    <w:rsid w:val="00E716E8"/>
    <w:rsid w:val="00E718FF"/>
    <w:rsid w:val="00E71A6F"/>
    <w:rsid w:val="00E71A7C"/>
    <w:rsid w:val="00E71A92"/>
    <w:rsid w:val="00E71B5A"/>
    <w:rsid w:val="00E71BA5"/>
    <w:rsid w:val="00E72281"/>
    <w:rsid w:val="00E727D0"/>
    <w:rsid w:val="00E72897"/>
    <w:rsid w:val="00E729BD"/>
    <w:rsid w:val="00E72A2A"/>
    <w:rsid w:val="00E7306F"/>
    <w:rsid w:val="00E73108"/>
    <w:rsid w:val="00E73260"/>
    <w:rsid w:val="00E732C9"/>
    <w:rsid w:val="00E73433"/>
    <w:rsid w:val="00E73861"/>
    <w:rsid w:val="00E73A05"/>
    <w:rsid w:val="00E73A8A"/>
    <w:rsid w:val="00E73C6A"/>
    <w:rsid w:val="00E742AE"/>
    <w:rsid w:val="00E74430"/>
    <w:rsid w:val="00E7470E"/>
    <w:rsid w:val="00E748BC"/>
    <w:rsid w:val="00E74C02"/>
    <w:rsid w:val="00E750DF"/>
    <w:rsid w:val="00E7529A"/>
    <w:rsid w:val="00E7537A"/>
    <w:rsid w:val="00E75410"/>
    <w:rsid w:val="00E75512"/>
    <w:rsid w:val="00E757CD"/>
    <w:rsid w:val="00E759F4"/>
    <w:rsid w:val="00E75B31"/>
    <w:rsid w:val="00E7612C"/>
    <w:rsid w:val="00E76413"/>
    <w:rsid w:val="00E76CAC"/>
    <w:rsid w:val="00E7725D"/>
    <w:rsid w:val="00E7745C"/>
    <w:rsid w:val="00E77659"/>
    <w:rsid w:val="00E77C1E"/>
    <w:rsid w:val="00E77C4B"/>
    <w:rsid w:val="00E77D44"/>
    <w:rsid w:val="00E77E28"/>
    <w:rsid w:val="00E803F9"/>
    <w:rsid w:val="00E80AE6"/>
    <w:rsid w:val="00E80D69"/>
    <w:rsid w:val="00E80DAA"/>
    <w:rsid w:val="00E80F39"/>
    <w:rsid w:val="00E80FA2"/>
    <w:rsid w:val="00E810CB"/>
    <w:rsid w:val="00E81BF4"/>
    <w:rsid w:val="00E81D97"/>
    <w:rsid w:val="00E81F06"/>
    <w:rsid w:val="00E82911"/>
    <w:rsid w:val="00E82BB4"/>
    <w:rsid w:val="00E834A5"/>
    <w:rsid w:val="00E83512"/>
    <w:rsid w:val="00E84120"/>
    <w:rsid w:val="00E84875"/>
    <w:rsid w:val="00E84A24"/>
    <w:rsid w:val="00E84D89"/>
    <w:rsid w:val="00E85297"/>
    <w:rsid w:val="00E8547A"/>
    <w:rsid w:val="00E858BF"/>
    <w:rsid w:val="00E85D4D"/>
    <w:rsid w:val="00E85F07"/>
    <w:rsid w:val="00E86191"/>
    <w:rsid w:val="00E86214"/>
    <w:rsid w:val="00E863CC"/>
    <w:rsid w:val="00E876DB"/>
    <w:rsid w:val="00E90127"/>
    <w:rsid w:val="00E903DF"/>
    <w:rsid w:val="00E90EC0"/>
    <w:rsid w:val="00E91050"/>
    <w:rsid w:val="00E911A0"/>
    <w:rsid w:val="00E91541"/>
    <w:rsid w:val="00E91570"/>
    <w:rsid w:val="00E91C0C"/>
    <w:rsid w:val="00E91E3E"/>
    <w:rsid w:val="00E91FD7"/>
    <w:rsid w:val="00E920F1"/>
    <w:rsid w:val="00E927FC"/>
    <w:rsid w:val="00E92CCB"/>
    <w:rsid w:val="00E92EDC"/>
    <w:rsid w:val="00E939F4"/>
    <w:rsid w:val="00E93A1C"/>
    <w:rsid w:val="00E93BFD"/>
    <w:rsid w:val="00E93DE6"/>
    <w:rsid w:val="00E940D6"/>
    <w:rsid w:val="00E94902"/>
    <w:rsid w:val="00E94AB2"/>
    <w:rsid w:val="00E94CF0"/>
    <w:rsid w:val="00E94D63"/>
    <w:rsid w:val="00E94FB5"/>
    <w:rsid w:val="00E9562B"/>
    <w:rsid w:val="00E9582B"/>
    <w:rsid w:val="00E95B3A"/>
    <w:rsid w:val="00E95B64"/>
    <w:rsid w:val="00E95B7B"/>
    <w:rsid w:val="00E96189"/>
    <w:rsid w:val="00E96339"/>
    <w:rsid w:val="00E96A64"/>
    <w:rsid w:val="00E96BAD"/>
    <w:rsid w:val="00E96C27"/>
    <w:rsid w:val="00E96F23"/>
    <w:rsid w:val="00E96FC7"/>
    <w:rsid w:val="00E9701E"/>
    <w:rsid w:val="00E9728B"/>
    <w:rsid w:val="00E9728F"/>
    <w:rsid w:val="00E974EE"/>
    <w:rsid w:val="00E975A5"/>
    <w:rsid w:val="00E9775C"/>
    <w:rsid w:val="00E97D3B"/>
    <w:rsid w:val="00EA0483"/>
    <w:rsid w:val="00EA075B"/>
    <w:rsid w:val="00EA0AED"/>
    <w:rsid w:val="00EA0B31"/>
    <w:rsid w:val="00EA11B9"/>
    <w:rsid w:val="00EA135B"/>
    <w:rsid w:val="00EA16C8"/>
    <w:rsid w:val="00EA1925"/>
    <w:rsid w:val="00EA1E7C"/>
    <w:rsid w:val="00EA1FAC"/>
    <w:rsid w:val="00EA2452"/>
    <w:rsid w:val="00EA288B"/>
    <w:rsid w:val="00EA29A2"/>
    <w:rsid w:val="00EA2D10"/>
    <w:rsid w:val="00EA3212"/>
    <w:rsid w:val="00EA335D"/>
    <w:rsid w:val="00EA3756"/>
    <w:rsid w:val="00EA3969"/>
    <w:rsid w:val="00EA3CF9"/>
    <w:rsid w:val="00EA4304"/>
    <w:rsid w:val="00EA4446"/>
    <w:rsid w:val="00EA461F"/>
    <w:rsid w:val="00EA4760"/>
    <w:rsid w:val="00EA4E40"/>
    <w:rsid w:val="00EA560B"/>
    <w:rsid w:val="00EA5A1D"/>
    <w:rsid w:val="00EA5E5A"/>
    <w:rsid w:val="00EA6588"/>
    <w:rsid w:val="00EA6A46"/>
    <w:rsid w:val="00EA7193"/>
    <w:rsid w:val="00EA7328"/>
    <w:rsid w:val="00EA7941"/>
    <w:rsid w:val="00EA79FE"/>
    <w:rsid w:val="00EA7D9C"/>
    <w:rsid w:val="00EB02F7"/>
    <w:rsid w:val="00EB031D"/>
    <w:rsid w:val="00EB033E"/>
    <w:rsid w:val="00EB0761"/>
    <w:rsid w:val="00EB0B22"/>
    <w:rsid w:val="00EB0BBC"/>
    <w:rsid w:val="00EB1176"/>
    <w:rsid w:val="00EB11AB"/>
    <w:rsid w:val="00EB1692"/>
    <w:rsid w:val="00EB1AEB"/>
    <w:rsid w:val="00EB1CD9"/>
    <w:rsid w:val="00EB1D7C"/>
    <w:rsid w:val="00EB1F17"/>
    <w:rsid w:val="00EB203B"/>
    <w:rsid w:val="00EB29F0"/>
    <w:rsid w:val="00EB2AC6"/>
    <w:rsid w:val="00EB2B6F"/>
    <w:rsid w:val="00EB3327"/>
    <w:rsid w:val="00EB3380"/>
    <w:rsid w:val="00EB349B"/>
    <w:rsid w:val="00EB34D2"/>
    <w:rsid w:val="00EB3869"/>
    <w:rsid w:val="00EB3CB6"/>
    <w:rsid w:val="00EB3FC8"/>
    <w:rsid w:val="00EB408A"/>
    <w:rsid w:val="00EB40BB"/>
    <w:rsid w:val="00EB41E4"/>
    <w:rsid w:val="00EB45A5"/>
    <w:rsid w:val="00EB4860"/>
    <w:rsid w:val="00EB4B21"/>
    <w:rsid w:val="00EB4DC6"/>
    <w:rsid w:val="00EB54D1"/>
    <w:rsid w:val="00EB5796"/>
    <w:rsid w:val="00EB57C0"/>
    <w:rsid w:val="00EB5941"/>
    <w:rsid w:val="00EB5C53"/>
    <w:rsid w:val="00EB5DF3"/>
    <w:rsid w:val="00EB5DF9"/>
    <w:rsid w:val="00EB5EAC"/>
    <w:rsid w:val="00EB600E"/>
    <w:rsid w:val="00EB636A"/>
    <w:rsid w:val="00EB6579"/>
    <w:rsid w:val="00EB68CD"/>
    <w:rsid w:val="00EB724B"/>
    <w:rsid w:val="00EB755B"/>
    <w:rsid w:val="00EB7AFD"/>
    <w:rsid w:val="00EB7FA2"/>
    <w:rsid w:val="00EC0361"/>
    <w:rsid w:val="00EC066F"/>
    <w:rsid w:val="00EC0AC1"/>
    <w:rsid w:val="00EC0D51"/>
    <w:rsid w:val="00EC14BD"/>
    <w:rsid w:val="00EC16A4"/>
    <w:rsid w:val="00EC19F0"/>
    <w:rsid w:val="00EC1A35"/>
    <w:rsid w:val="00EC1B0D"/>
    <w:rsid w:val="00EC203A"/>
    <w:rsid w:val="00EC2346"/>
    <w:rsid w:val="00EC257D"/>
    <w:rsid w:val="00EC2A20"/>
    <w:rsid w:val="00EC2B21"/>
    <w:rsid w:val="00EC31E0"/>
    <w:rsid w:val="00EC3380"/>
    <w:rsid w:val="00EC359C"/>
    <w:rsid w:val="00EC3ADA"/>
    <w:rsid w:val="00EC3D39"/>
    <w:rsid w:val="00EC3DD4"/>
    <w:rsid w:val="00EC3E24"/>
    <w:rsid w:val="00EC3F2F"/>
    <w:rsid w:val="00EC41B8"/>
    <w:rsid w:val="00EC425B"/>
    <w:rsid w:val="00EC44A8"/>
    <w:rsid w:val="00EC45A9"/>
    <w:rsid w:val="00EC48C1"/>
    <w:rsid w:val="00EC490E"/>
    <w:rsid w:val="00EC4B41"/>
    <w:rsid w:val="00EC4B6C"/>
    <w:rsid w:val="00EC4E6D"/>
    <w:rsid w:val="00EC4F86"/>
    <w:rsid w:val="00EC4F8B"/>
    <w:rsid w:val="00EC57F2"/>
    <w:rsid w:val="00EC5B79"/>
    <w:rsid w:val="00EC6500"/>
    <w:rsid w:val="00EC67C4"/>
    <w:rsid w:val="00EC6E3C"/>
    <w:rsid w:val="00EC6E6E"/>
    <w:rsid w:val="00EC6FC5"/>
    <w:rsid w:val="00EC7050"/>
    <w:rsid w:val="00EC71BB"/>
    <w:rsid w:val="00EC7454"/>
    <w:rsid w:val="00EC7935"/>
    <w:rsid w:val="00EC7A11"/>
    <w:rsid w:val="00EC7BA6"/>
    <w:rsid w:val="00EC7CC4"/>
    <w:rsid w:val="00EC7D38"/>
    <w:rsid w:val="00ED0071"/>
    <w:rsid w:val="00ED061C"/>
    <w:rsid w:val="00ED0672"/>
    <w:rsid w:val="00ED0955"/>
    <w:rsid w:val="00ED0B60"/>
    <w:rsid w:val="00ED107B"/>
    <w:rsid w:val="00ED1324"/>
    <w:rsid w:val="00ED1648"/>
    <w:rsid w:val="00ED17B7"/>
    <w:rsid w:val="00ED188C"/>
    <w:rsid w:val="00ED19B9"/>
    <w:rsid w:val="00ED22B1"/>
    <w:rsid w:val="00ED2351"/>
    <w:rsid w:val="00ED2523"/>
    <w:rsid w:val="00ED2A7A"/>
    <w:rsid w:val="00ED3457"/>
    <w:rsid w:val="00ED3613"/>
    <w:rsid w:val="00ED3C26"/>
    <w:rsid w:val="00ED3E07"/>
    <w:rsid w:val="00ED40D0"/>
    <w:rsid w:val="00ED498F"/>
    <w:rsid w:val="00ED4B49"/>
    <w:rsid w:val="00ED5447"/>
    <w:rsid w:val="00ED562E"/>
    <w:rsid w:val="00ED5C78"/>
    <w:rsid w:val="00ED5E71"/>
    <w:rsid w:val="00ED602E"/>
    <w:rsid w:val="00ED60DE"/>
    <w:rsid w:val="00ED65E0"/>
    <w:rsid w:val="00ED6F7D"/>
    <w:rsid w:val="00ED7269"/>
    <w:rsid w:val="00ED7B1E"/>
    <w:rsid w:val="00ED7DF9"/>
    <w:rsid w:val="00EE106E"/>
    <w:rsid w:val="00EE10F5"/>
    <w:rsid w:val="00EE1167"/>
    <w:rsid w:val="00EE116D"/>
    <w:rsid w:val="00EE13D6"/>
    <w:rsid w:val="00EE15C4"/>
    <w:rsid w:val="00EE18C0"/>
    <w:rsid w:val="00EE1E32"/>
    <w:rsid w:val="00EE22D2"/>
    <w:rsid w:val="00EE25B5"/>
    <w:rsid w:val="00EE2675"/>
    <w:rsid w:val="00EE288F"/>
    <w:rsid w:val="00EE2B72"/>
    <w:rsid w:val="00EE2F10"/>
    <w:rsid w:val="00EE32ED"/>
    <w:rsid w:val="00EE3331"/>
    <w:rsid w:val="00EE34D4"/>
    <w:rsid w:val="00EE3597"/>
    <w:rsid w:val="00EE373C"/>
    <w:rsid w:val="00EE3A24"/>
    <w:rsid w:val="00EE3D0F"/>
    <w:rsid w:val="00EE3E46"/>
    <w:rsid w:val="00EE44FF"/>
    <w:rsid w:val="00EE47C9"/>
    <w:rsid w:val="00EE495E"/>
    <w:rsid w:val="00EE4A1F"/>
    <w:rsid w:val="00EE4D9C"/>
    <w:rsid w:val="00EE4E6B"/>
    <w:rsid w:val="00EE4F40"/>
    <w:rsid w:val="00EE516D"/>
    <w:rsid w:val="00EE56FA"/>
    <w:rsid w:val="00EE5C41"/>
    <w:rsid w:val="00EE61D4"/>
    <w:rsid w:val="00EE6508"/>
    <w:rsid w:val="00EE7085"/>
    <w:rsid w:val="00EE7404"/>
    <w:rsid w:val="00EE7535"/>
    <w:rsid w:val="00EE7B2A"/>
    <w:rsid w:val="00EE7B76"/>
    <w:rsid w:val="00EF0D2B"/>
    <w:rsid w:val="00EF14C9"/>
    <w:rsid w:val="00EF159A"/>
    <w:rsid w:val="00EF173D"/>
    <w:rsid w:val="00EF1E91"/>
    <w:rsid w:val="00EF2706"/>
    <w:rsid w:val="00EF287A"/>
    <w:rsid w:val="00EF2C1E"/>
    <w:rsid w:val="00EF2F3B"/>
    <w:rsid w:val="00EF32FC"/>
    <w:rsid w:val="00EF3D11"/>
    <w:rsid w:val="00EF3E12"/>
    <w:rsid w:val="00EF44BE"/>
    <w:rsid w:val="00EF45E0"/>
    <w:rsid w:val="00EF47C5"/>
    <w:rsid w:val="00EF49C5"/>
    <w:rsid w:val="00EF4C99"/>
    <w:rsid w:val="00EF4E88"/>
    <w:rsid w:val="00EF5354"/>
    <w:rsid w:val="00EF5468"/>
    <w:rsid w:val="00EF5776"/>
    <w:rsid w:val="00EF5948"/>
    <w:rsid w:val="00EF5BF3"/>
    <w:rsid w:val="00EF5F56"/>
    <w:rsid w:val="00EF6096"/>
    <w:rsid w:val="00EF60BA"/>
    <w:rsid w:val="00EF68FF"/>
    <w:rsid w:val="00EF6AD6"/>
    <w:rsid w:val="00EF7235"/>
    <w:rsid w:val="00EF7252"/>
    <w:rsid w:val="00EF72F3"/>
    <w:rsid w:val="00EF7896"/>
    <w:rsid w:val="00EF7C57"/>
    <w:rsid w:val="00EF7CD5"/>
    <w:rsid w:val="00F002B1"/>
    <w:rsid w:val="00F00604"/>
    <w:rsid w:val="00F00764"/>
    <w:rsid w:val="00F00E55"/>
    <w:rsid w:val="00F0132C"/>
    <w:rsid w:val="00F01607"/>
    <w:rsid w:val="00F01C4D"/>
    <w:rsid w:val="00F0231E"/>
    <w:rsid w:val="00F0288F"/>
    <w:rsid w:val="00F02A9D"/>
    <w:rsid w:val="00F0356A"/>
    <w:rsid w:val="00F035B5"/>
    <w:rsid w:val="00F03B8C"/>
    <w:rsid w:val="00F03E89"/>
    <w:rsid w:val="00F03FF3"/>
    <w:rsid w:val="00F0408A"/>
    <w:rsid w:val="00F04172"/>
    <w:rsid w:val="00F048AD"/>
    <w:rsid w:val="00F04B29"/>
    <w:rsid w:val="00F05664"/>
    <w:rsid w:val="00F05705"/>
    <w:rsid w:val="00F057D6"/>
    <w:rsid w:val="00F05876"/>
    <w:rsid w:val="00F05ACD"/>
    <w:rsid w:val="00F060CB"/>
    <w:rsid w:val="00F0619F"/>
    <w:rsid w:val="00F06BAC"/>
    <w:rsid w:val="00F06E3E"/>
    <w:rsid w:val="00F06E42"/>
    <w:rsid w:val="00F072D1"/>
    <w:rsid w:val="00F074FD"/>
    <w:rsid w:val="00F0759C"/>
    <w:rsid w:val="00F1042F"/>
    <w:rsid w:val="00F10536"/>
    <w:rsid w:val="00F1062A"/>
    <w:rsid w:val="00F106E7"/>
    <w:rsid w:val="00F108D7"/>
    <w:rsid w:val="00F10BEB"/>
    <w:rsid w:val="00F10CBC"/>
    <w:rsid w:val="00F10E18"/>
    <w:rsid w:val="00F10F68"/>
    <w:rsid w:val="00F1128B"/>
    <w:rsid w:val="00F114E5"/>
    <w:rsid w:val="00F11621"/>
    <w:rsid w:val="00F118D2"/>
    <w:rsid w:val="00F11D49"/>
    <w:rsid w:val="00F11E58"/>
    <w:rsid w:val="00F11F8B"/>
    <w:rsid w:val="00F12237"/>
    <w:rsid w:val="00F1257D"/>
    <w:rsid w:val="00F12B7F"/>
    <w:rsid w:val="00F133C5"/>
    <w:rsid w:val="00F13632"/>
    <w:rsid w:val="00F136BC"/>
    <w:rsid w:val="00F139AD"/>
    <w:rsid w:val="00F13C28"/>
    <w:rsid w:val="00F143BA"/>
    <w:rsid w:val="00F14781"/>
    <w:rsid w:val="00F14972"/>
    <w:rsid w:val="00F14A45"/>
    <w:rsid w:val="00F14FC1"/>
    <w:rsid w:val="00F152E6"/>
    <w:rsid w:val="00F15495"/>
    <w:rsid w:val="00F154BB"/>
    <w:rsid w:val="00F15996"/>
    <w:rsid w:val="00F15A5D"/>
    <w:rsid w:val="00F15A6A"/>
    <w:rsid w:val="00F1600B"/>
    <w:rsid w:val="00F16293"/>
    <w:rsid w:val="00F1647B"/>
    <w:rsid w:val="00F167C8"/>
    <w:rsid w:val="00F16C5B"/>
    <w:rsid w:val="00F16D10"/>
    <w:rsid w:val="00F178AD"/>
    <w:rsid w:val="00F1798A"/>
    <w:rsid w:val="00F17C67"/>
    <w:rsid w:val="00F203D4"/>
    <w:rsid w:val="00F208D7"/>
    <w:rsid w:val="00F20907"/>
    <w:rsid w:val="00F212BD"/>
    <w:rsid w:val="00F21967"/>
    <w:rsid w:val="00F21C57"/>
    <w:rsid w:val="00F21DB8"/>
    <w:rsid w:val="00F228F0"/>
    <w:rsid w:val="00F22CC7"/>
    <w:rsid w:val="00F23021"/>
    <w:rsid w:val="00F23DE5"/>
    <w:rsid w:val="00F2424A"/>
    <w:rsid w:val="00F2430F"/>
    <w:rsid w:val="00F24377"/>
    <w:rsid w:val="00F24516"/>
    <w:rsid w:val="00F2460B"/>
    <w:rsid w:val="00F24CCD"/>
    <w:rsid w:val="00F24DEE"/>
    <w:rsid w:val="00F24E17"/>
    <w:rsid w:val="00F2550A"/>
    <w:rsid w:val="00F25AF1"/>
    <w:rsid w:val="00F261F7"/>
    <w:rsid w:val="00F26571"/>
    <w:rsid w:val="00F26599"/>
    <w:rsid w:val="00F266D2"/>
    <w:rsid w:val="00F26BE6"/>
    <w:rsid w:val="00F272D0"/>
    <w:rsid w:val="00F27381"/>
    <w:rsid w:val="00F2749D"/>
    <w:rsid w:val="00F27DFB"/>
    <w:rsid w:val="00F300E6"/>
    <w:rsid w:val="00F30269"/>
    <w:rsid w:val="00F3045F"/>
    <w:rsid w:val="00F30BAC"/>
    <w:rsid w:val="00F3134B"/>
    <w:rsid w:val="00F31764"/>
    <w:rsid w:val="00F31D4D"/>
    <w:rsid w:val="00F32168"/>
    <w:rsid w:val="00F321DF"/>
    <w:rsid w:val="00F322ED"/>
    <w:rsid w:val="00F325F9"/>
    <w:rsid w:val="00F325FE"/>
    <w:rsid w:val="00F327C0"/>
    <w:rsid w:val="00F328BE"/>
    <w:rsid w:val="00F32DD7"/>
    <w:rsid w:val="00F32DE4"/>
    <w:rsid w:val="00F331CA"/>
    <w:rsid w:val="00F33206"/>
    <w:rsid w:val="00F3368A"/>
    <w:rsid w:val="00F3384F"/>
    <w:rsid w:val="00F33DE8"/>
    <w:rsid w:val="00F34BE4"/>
    <w:rsid w:val="00F34DFB"/>
    <w:rsid w:val="00F34EC5"/>
    <w:rsid w:val="00F3525B"/>
    <w:rsid w:val="00F3535D"/>
    <w:rsid w:val="00F354C2"/>
    <w:rsid w:val="00F357BA"/>
    <w:rsid w:val="00F35AA9"/>
    <w:rsid w:val="00F35BBF"/>
    <w:rsid w:val="00F35D4D"/>
    <w:rsid w:val="00F35F0C"/>
    <w:rsid w:val="00F3602C"/>
    <w:rsid w:val="00F36312"/>
    <w:rsid w:val="00F36E56"/>
    <w:rsid w:val="00F372C2"/>
    <w:rsid w:val="00F3740B"/>
    <w:rsid w:val="00F375FC"/>
    <w:rsid w:val="00F376E0"/>
    <w:rsid w:val="00F3771A"/>
    <w:rsid w:val="00F37843"/>
    <w:rsid w:val="00F37AB9"/>
    <w:rsid w:val="00F37EC2"/>
    <w:rsid w:val="00F402D4"/>
    <w:rsid w:val="00F40845"/>
    <w:rsid w:val="00F40994"/>
    <w:rsid w:val="00F40D75"/>
    <w:rsid w:val="00F40FF2"/>
    <w:rsid w:val="00F411C4"/>
    <w:rsid w:val="00F41328"/>
    <w:rsid w:val="00F4184A"/>
    <w:rsid w:val="00F419FC"/>
    <w:rsid w:val="00F41AA5"/>
    <w:rsid w:val="00F41E18"/>
    <w:rsid w:val="00F42120"/>
    <w:rsid w:val="00F424BA"/>
    <w:rsid w:val="00F42A94"/>
    <w:rsid w:val="00F42CC3"/>
    <w:rsid w:val="00F42CE0"/>
    <w:rsid w:val="00F42F79"/>
    <w:rsid w:val="00F43004"/>
    <w:rsid w:val="00F4309A"/>
    <w:rsid w:val="00F43319"/>
    <w:rsid w:val="00F43353"/>
    <w:rsid w:val="00F4369F"/>
    <w:rsid w:val="00F43A58"/>
    <w:rsid w:val="00F43B21"/>
    <w:rsid w:val="00F44ADE"/>
    <w:rsid w:val="00F45169"/>
    <w:rsid w:val="00F4533F"/>
    <w:rsid w:val="00F45518"/>
    <w:rsid w:val="00F4583D"/>
    <w:rsid w:val="00F45ECF"/>
    <w:rsid w:val="00F46207"/>
    <w:rsid w:val="00F46229"/>
    <w:rsid w:val="00F4656D"/>
    <w:rsid w:val="00F46670"/>
    <w:rsid w:val="00F467A9"/>
    <w:rsid w:val="00F46BEC"/>
    <w:rsid w:val="00F46FFA"/>
    <w:rsid w:val="00F471B3"/>
    <w:rsid w:val="00F47AC4"/>
    <w:rsid w:val="00F500BD"/>
    <w:rsid w:val="00F505A4"/>
    <w:rsid w:val="00F51476"/>
    <w:rsid w:val="00F51816"/>
    <w:rsid w:val="00F51A68"/>
    <w:rsid w:val="00F51EA3"/>
    <w:rsid w:val="00F5211C"/>
    <w:rsid w:val="00F521FA"/>
    <w:rsid w:val="00F523F6"/>
    <w:rsid w:val="00F5244B"/>
    <w:rsid w:val="00F52785"/>
    <w:rsid w:val="00F52834"/>
    <w:rsid w:val="00F528EF"/>
    <w:rsid w:val="00F529BE"/>
    <w:rsid w:val="00F532CB"/>
    <w:rsid w:val="00F532E0"/>
    <w:rsid w:val="00F5332E"/>
    <w:rsid w:val="00F53547"/>
    <w:rsid w:val="00F53763"/>
    <w:rsid w:val="00F53C1B"/>
    <w:rsid w:val="00F542C2"/>
    <w:rsid w:val="00F544CA"/>
    <w:rsid w:val="00F5459F"/>
    <w:rsid w:val="00F54677"/>
    <w:rsid w:val="00F5472B"/>
    <w:rsid w:val="00F5475F"/>
    <w:rsid w:val="00F5476B"/>
    <w:rsid w:val="00F5484C"/>
    <w:rsid w:val="00F54C0C"/>
    <w:rsid w:val="00F54C9B"/>
    <w:rsid w:val="00F54E10"/>
    <w:rsid w:val="00F553BD"/>
    <w:rsid w:val="00F55518"/>
    <w:rsid w:val="00F5563B"/>
    <w:rsid w:val="00F558F3"/>
    <w:rsid w:val="00F55A19"/>
    <w:rsid w:val="00F55A31"/>
    <w:rsid w:val="00F55E11"/>
    <w:rsid w:val="00F5633C"/>
    <w:rsid w:val="00F563EE"/>
    <w:rsid w:val="00F567C9"/>
    <w:rsid w:val="00F572A1"/>
    <w:rsid w:val="00F57875"/>
    <w:rsid w:val="00F578D2"/>
    <w:rsid w:val="00F578E8"/>
    <w:rsid w:val="00F57D68"/>
    <w:rsid w:val="00F57E8A"/>
    <w:rsid w:val="00F57F4D"/>
    <w:rsid w:val="00F604A1"/>
    <w:rsid w:val="00F608BF"/>
    <w:rsid w:val="00F60C0D"/>
    <w:rsid w:val="00F60EF3"/>
    <w:rsid w:val="00F61753"/>
    <w:rsid w:val="00F61836"/>
    <w:rsid w:val="00F61C30"/>
    <w:rsid w:val="00F6252A"/>
    <w:rsid w:val="00F6260B"/>
    <w:rsid w:val="00F62C99"/>
    <w:rsid w:val="00F62CFB"/>
    <w:rsid w:val="00F62D82"/>
    <w:rsid w:val="00F638AA"/>
    <w:rsid w:val="00F639B4"/>
    <w:rsid w:val="00F6402E"/>
    <w:rsid w:val="00F64323"/>
    <w:rsid w:val="00F64AEF"/>
    <w:rsid w:val="00F64C8A"/>
    <w:rsid w:val="00F652A7"/>
    <w:rsid w:val="00F65398"/>
    <w:rsid w:val="00F653C5"/>
    <w:rsid w:val="00F65C47"/>
    <w:rsid w:val="00F660CA"/>
    <w:rsid w:val="00F6625D"/>
    <w:rsid w:val="00F6673E"/>
    <w:rsid w:val="00F66777"/>
    <w:rsid w:val="00F668FC"/>
    <w:rsid w:val="00F669E3"/>
    <w:rsid w:val="00F67114"/>
    <w:rsid w:val="00F67AA0"/>
    <w:rsid w:val="00F67C7F"/>
    <w:rsid w:val="00F70000"/>
    <w:rsid w:val="00F702B1"/>
    <w:rsid w:val="00F704C4"/>
    <w:rsid w:val="00F71890"/>
    <w:rsid w:val="00F71CF4"/>
    <w:rsid w:val="00F71F65"/>
    <w:rsid w:val="00F72BE6"/>
    <w:rsid w:val="00F72D58"/>
    <w:rsid w:val="00F72DE5"/>
    <w:rsid w:val="00F7326C"/>
    <w:rsid w:val="00F73337"/>
    <w:rsid w:val="00F73364"/>
    <w:rsid w:val="00F735E6"/>
    <w:rsid w:val="00F73E08"/>
    <w:rsid w:val="00F73E5F"/>
    <w:rsid w:val="00F74226"/>
    <w:rsid w:val="00F74852"/>
    <w:rsid w:val="00F748AB"/>
    <w:rsid w:val="00F74930"/>
    <w:rsid w:val="00F74B7E"/>
    <w:rsid w:val="00F74C8C"/>
    <w:rsid w:val="00F74FA8"/>
    <w:rsid w:val="00F753E7"/>
    <w:rsid w:val="00F75B2D"/>
    <w:rsid w:val="00F75D67"/>
    <w:rsid w:val="00F76283"/>
    <w:rsid w:val="00F7656F"/>
    <w:rsid w:val="00F76577"/>
    <w:rsid w:val="00F76B26"/>
    <w:rsid w:val="00F76CD1"/>
    <w:rsid w:val="00F76DFB"/>
    <w:rsid w:val="00F76EB5"/>
    <w:rsid w:val="00F76ED2"/>
    <w:rsid w:val="00F776D6"/>
    <w:rsid w:val="00F77799"/>
    <w:rsid w:val="00F77902"/>
    <w:rsid w:val="00F77B5C"/>
    <w:rsid w:val="00F77F77"/>
    <w:rsid w:val="00F801AA"/>
    <w:rsid w:val="00F80541"/>
    <w:rsid w:val="00F8059E"/>
    <w:rsid w:val="00F80FBD"/>
    <w:rsid w:val="00F8115B"/>
    <w:rsid w:val="00F818F2"/>
    <w:rsid w:val="00F81E64"/>
    <w:rsid w:val="00F82D87"/>
    <w:rsid w:val="00F83682"/>
    <w:rsid w:val="00F836D5"/>
    <w:rsid w:val="00F83F55"/>
    <w:rsid w:val="00F8412E"/>
    <w:rsid w:val="00F84B2C"/>
    <w:rsid w:val="00F84FE0"/>
    <w:rsid w:val="00F855B7"/>
    <w:rsid w:val="00F8574F"/>
    <w:rsid w:val="00F85996"/>
    <w:rsid w:val="00F85A11"/>
    <w:rsid w:val="00F85D5E"/>
    <w:rsid w:val="00F86169"/>
    <w:rsid w:val="00F863CA"/>
    <w:rsid w:val="00F866D3"/>
    <w:rsid w:val="00F86B97"/>
    <w:rsid w:val="00F86BA4"/>
    <w:rsid w:val="00F870DE"/>
    <w:rsid w:val="00F8728A"/>
    <w:rsid w:val="00F873A3"/>
    <w:rsid w:val="00F873B2"/>
    <w:rsid w:val="00F8757C"/>
    <w:rsid w:val="00F875B8"/>
    <w:rsid w:val="00F8770F"/>
    <w:rsid w:val="00F87A46"/>
    <w:rsid w:val="00F87B1D"/>
    <w:rsid w:val="00F90049"/>
    <w:rsid w:val="00F9039C"/>
    <w:rsid w:val="00F9080D"/>
    <w:rsid w:val="00F90B99"/>
    <w:rsid w:val="00F90C0C"/>
    <w:rsid w:val="00F90E4E"/>
    <w:rsid w:val="00F917B8"/>
    <w:rsid w:val="00F91E4D"/>
    <w:rsid w:val="00F91E84"/>
    <w:rsid w:val="00F921F4"/>
    <w:rsid w:val="00F92406"/>
    <w:rsid w:val="00F9269A"/>
    <w:rsid w:val="00F92889"/>
    <w:rsid w:val="00F928D3"/>
    <w:rsid w:val="00F92E43"/>
    <w:rsid w:val="00F93041"/>
    <w:rsid w:val="00F9379D"/>
    <w:rsid w:val="00F9381B"/>
    <w:rsid w:val="00F9386C"/>
    <w:rsid w:val="00F93A0E"/>
    <w:rsid w:val="00F93F8F"/>
    <w:rsid w:val="00F942A8"/>
    <w:rsid w:val="00F94657"/>
    <w:rsid w:val="00F9505E"/>
    <w:rsid w:val="00F95185"/>
    <w:rsid w:val="00F951DD"/>
    <w:rsid w:val="00F9558E"/>
    <w:rsid w:val="00F955E2"/>
    <w:rsid w:val="00F95602"/>
    <w:rsid w:val="00F95A23"/>
    <w:rsid w:val="00F95B3B"/>
    <w:rsid w:val="00F95D1A"/>
    <w:rsid w:val="00F96244"/>
    <w:rsid w:val="00F96768"/>
    <w:rsid w:val="00F96954"/>
    <w:rsid w:val="00F969E6"/>
    <w:rsid w:val="00F96AFB"/>
    <w:rsid w:val="00F96DEC"/>
    <w:rsid w:val="00F97108"/>
    <w:rsid w:val="00F972B9"/>
    <w:rsid w:val="00F97705"/>
    <w:rsid w:val="00F97B38"/>
    <w:rsid w:val="00F97C94"/>
    <w:rsid w:val="00F97CF0"/>
    <w:rsid w:val="00FA033A"/>
    <w:rsid w:val="00FA099B"/>
    <w:rsid w:val="00FA0C8A"/>
    <w:rsid w:val="00FA0EFB"/>
    <w:rsid w:val="00FA11BC"/>
    <w:rsid w:val="00FA1374"/>
    <w:rsid w:val="00FA14A7"/>
    <w:rsid w:val="00FA17C8"/>
    <w:rsid w:val="00FA211E"/>
    <w:rsid w:val="00FA2199"/>
    <w:rsid w:val="00FA23E6"/>
    <w:rsid w:val="00FA2517"/>
    <w:rsid w:val="00FA2AB4"/>
    <w:rsid w:val="00FA2BEF"/>
    <w:rsid w:val="00FA2C37"/>
    <w:rsid w:val="00FA2F8E"/>
    <w:rsid w:val="00FA31B4"/>
    <w:rsid w:val="00FA3946"/>
    <w:rsid w:val="00FA3B7C"/>
    <w:rsid w:val="00FA3D21"/>
    <w:rsid w:val="00FA4693"/>
    <w:rsid w:val="00FA4B01"/>
    <w:rsid w:val="00FA4B31"/>
    <w:rsid w:val="00FA4B76"/>
    <w:rsid w:val="00FA4B83"/>
    <w:rsid w:val="00FA567C"/>
    <w:rsid w:val="00FA5F5C"/>
    <w:rsid w:val="00FA5F8B"/>
    <w:rsid w:val="00FA6204"/>
    <w:rsid w:val="00FA65F5"/>
    <w:rsid w:val="00FA670D"/>
    <w:rsid w:val="00FA674C"/>
    <w:rsid w:val="00FA69AE"/>
    <w:rsid w:val="00FA6F0F"/>
    <w:rsid w:val="00FA73B0"/>
    <w:rsid w:val="00FA7616"/>
    <w:rsid w:val="00FA76B9"/>
    <w:rsid w:val="00FB04E5"/>
    <w:rsid w:val="00FB0613"/>
    <w:rsid w:val="00FB0681"/>
    <w:rsid w:val="00FB0872"/>
    <w:rsid w:val="00FB0A96"/>
    <w:rsid w:val="00FB0ACC"/>
    <w:rsid w:val="00FB0B86"/>
    <w:rsid w:val="00FB0E82"/>
    <w:rsid w:val="00FB0FB4"/>
    <w:rsid w:val="00FB157E"/>
    <w:rsid w:val="00FB15AF"/>
    <w:rsid w:val="00FB1908"/>
    <w:rsid w:val="00FB1F66"/>
    <w:rsid w:val="00FB21AB"/>
    <w:rsid w:val="00FB22CB"/>
    <w:rsid w:val="00FB2717"/>
    <w:rsid w:val="00FB28C0"/>
    <w:rsid w:val="00FB2A48"/>
    <w:rsid w:val="00FB2C3B"/>
    <w:rsid w:val="00FB2DB1"/>
    <w:rsid w:val="00FB2FA6"/>
    <w:rsid w:val="00FB30C3"/>
    <w:rsid w:val="00FB38ED"/>
    <w:rsid w:val="00FB3B74"/>
    <w:rsid w:val="00FB3F51"/>
    <w:rsid w:val="00FB3F71"/>
    <w:rsid w:val="00FB4460"/>
    <w:rsid w:val="00FB496F"/>
    <w:rsid w:val="00FB4AEA"/>
    <w:rsid w:val="00FB4C9A"/>
    <w:rsid w:val="00FB51E5"/>
    <w:rsid w:val="00FB52D8"/>
    <w:rsid w:val="00FB5B72"/>
    <w:rsid w:val="00FB5B8E"/>
    <w:rsid w:val="00FB5D33"/>
    <w:rsid w:val="00FB5E89"/>
    <w:rsid w:val="00FB6192"/>
    <w:rsid w:val="00FB61B4"/>
    <w:rsid w:val="00FB61E7"/>
    <w:rsid w:val="00FB6352"/>
    <w:rsid w:val="00FB643C"/>
    <w:rsid w:val="00FB656A"/>
    <w:rsid w:val="00FB6BE4"/>
    <w:rsid w:val="00FB6E4A"/>
    <w:rsid w:val="00FB6F20"/>
    <w:rsid w:val="00FB6FD4"/>
    <w:rsid w:val="00FB7253"/>
    <w:rsid w:val="00FB7600"/>
    <w:rsid w:val="00FC0226"/>
    <w:rsid w:val="00FC02CA"/>
    <w:rsid w:val="00FC032C"/>
    <w:rsid w:val="00FC041E"/>
    <w:rsid w:val="00FC053A"/>
    <w:rsid w:val="00FC0969"/>
    <w:rsid w:val="00FC0C5F"/>
    <w:rsid w:val="00FC0C66"/>
    <w:rsid w:val="00FC0F21"/>
    <w:rsid w:val="00FC1122"/>
    <w:rsid w:val="00FC133D"/>
    <w:rsid w:val="00FC195D"/>
    <w:rsid w:val="00FC1997"/>
    <w:rsid w:val="00FC1C27"/>
    <w:rsid w:val="00FC1D72"/>
    <w:rsid w:val="00FC1EEA"/>
    <w:rsid w:val="00FC229A"/>
    <w:rsid w:val="00FC2394"/>
    <w:rsid w:val="00FC2A72"/>
    <w:rsid w:val="00FC2D7B"/>
    <w:rsid w:val="00FC305C"/>
    <w:rsid w:val="00FC3233"/>
    <w:rsid w:val="00FC33F8"/>
    <w:rsid w:val="00FC38D5"/>
    <w:rsid w:val="00FC44C3"/>
    <w:rsid w:val="00FC453D"/>
    <w:rsid w:val="00FC47F8"/>
    <w:rsid w:val="00FC48BF"/>
    <w:rsid w:val="00FC4BA8"/>
    <w:rsid w:val="00FC4D11"/>
    <w:rsid w:val="00FC4E54"/>
    <w:rsid w:val="00FC507F"/>
    <w:rsid w:val="00FC5804"/>
    <w:rsid w:val="00FC5A9E"/>
    <w:rsid w:val="00FC5B2C"/>
    <w:rsid w:val="00FC5BCB"/>
    <w:rsid w:val="00FC5D17"/>
    <w:rsid w:val="00FC5F0C"/>
    <w:rsid w:val="00FC6672"/>
    <w:rsid w:val="00FC6676"/>
    <w:rsid w:val="00FC6825"/>
    <w:rsid w:val="00FC697A"/>
    <w:rsid w:val="00FC6D27"/>
    <w:rsid w:val="00FC6D4B"/>
    <w:rsid w:val="00FC6F0F"/>
    <w:rsid w:val="00FC6FC2"/>
    <w:rsid w:val="00FC7159"/>
    <w:rsid w:val="00FC71AE"/>
    <w:rsid w:val="00FC7B20"/>
    <w:rsid w:val="00FC7CA0"/>
    <w:rsid w:val="00FC7CC1"/>
    <w:rsid w:val="00FC7EA3"/>
    <w:rsid w:val="00FD010C"/>
    <w:rsid w:val="00FD03B8"/>
    <w:rsid w:val="00FD0B16"/>
    <w:rsid w:val="00FD0B45"/>
    <w:rsid w:val="00FD133C"/>
    <w:rsid w:val="00FD17F5"/>
    <w:rsid w:val="00FD2215"/>
    <w:rsid w:val="00FD25CC"/>
    <w:rsid w:val="00FD2735"/>
    <w:rsid w:val="00FD2777"/>
    <w:rsid w:val="00FD289B"/>
    <w:rsid w:val="00FD29D3"/>
    <w:rsid w:val="00FD2B3B"/>
    <w:rsid w:val="00FD3106"/>
    <w:rsid w:val="00FD3180"/>
    <w:rsid w:val="00FD3699"/>
    <w:rsid w:val="00FD36D9"/>
    <w:rsid w:val="00FD394A"/>
    <w:rsid w:val="00FD3AD7"/>
    <w:rsid w:val="00FD3BEB"/>
    <w:rsid w:val="00FD3F06"/>
    <w:rsid w:val="00FD41EE"/>
    <w:rsid w:val="00FD4482"/>
    <w:rsid w:val="00FD4578"/>
    <w:rsid w:val="00FD4EFB"/>
    <w:rsid w:val="00FD4FE7"/>
    <w:rsid w:val="00FD5328"/>
    <w:rsid w:val="00FD60A2"/>
    <w:rsid w:val="00FD6713"/>
    <w:rsid w:val="00FD679A"/>
    <w:rsid w:val="00FD6AD3"/>
    <w:rsid w:val="00FD6BA8"/>
    <w:rsid w:val="00FD7053"/>
    <w:rsid w:val="00FD7890"/>
    <w:rsid w:val="00FD78F9"/>
    <w:rsid w:val="00FD7B2A"/>
    <w:rsid w:val="00FD7DAA"/>
    <w:rsid w:val="00FD7FEA"/>
    <w:rsid w:val="00FE00E8"/>
    <w:rsid w:val="00FE0596"/>
    <w:rsid w:val="00FE0673"/>
    <w:rsid w:val="00FE0885"/>
    <w:rsid w:val="00FE0B80"/>
    <w:rsid w:val="00FE0E39"/>
    <w:rsid w:val="00FE0EBC"/>
    <w:rsid w:val="00FE12DB"/>
    <w:rsid w:val="00FE1396"/>
    <w:rsid w:val="00FE147D"/>
    <w:rsid w:val="00FE1627"/>
    <w:rsid w:val="00FE1873"/>
    <w:rsid w:val="00FE18D8"/>
    <w:rsid w:val="00FE1CFF"/>
    <w:rsid w:val="00FE1F57"/>
    <w:rsid w:val="00FE1FF6"/>
    <w:rsid w:val="00FE22FB"/>
    <w:rsid w:val="00FE2685"/>
    <w:rsid w:val="00FE27C3"/>
    <w:rsid w:val="00FE2EFA"/>
    <w:rsid w:val="00FE2F92"/>
    <w:rsid w:val="00FE3167"/>
    <w:rsid w:val="00FE3845"/>
    <w:rsid w:val="00FE417B"/>
    <w:rsid w:val="00FE428B"/>
    <w:rsid w:val="00FE430C"/>
    <w:rsid w:val="00FE46A1"/>
    <w:rsid w:val="00FE48D4"/>
    <w:rsid w:val="00FE4A98"/>
    <w:rsid w:val="00FE4B73"/>
    <w:rsid w:val="00FE4B84"/>
    <w:rsid w:val="00FE4C9C"/>
    <w:rsid w:val="00FE4D58"/>
    <w:rsid w:val="00FE5016"/>
    <w:rsid w:val="00FE5026"/>
    <w:rsid w:val="00FE52EA"/>
    <w:rsid w:val="00FE5B10"/>
    <w:rsid w:val="00FE5D2E"/>
    <w:rsid w:val="00FE5EB2"/>
    <w:rsid w:val="00FE5ECD"/>
    <w:rsid w:val="00FE60F1"/>
    <w:rsid w:val="00FE60FB"/>
    <w:rsid w:val="00FE61C0"/>
    <w:rsid w:val="00FE62FE"/>
    <w:rsid w:val="00FE63C3"/>
    <w:rsid w:val="00FE6FCF"/>
    <w:rsid w:val="00FE70E7"/>
    <w:rsid w:val="00FE72F2"/>
    <w:rsid w:val="00FE74B0"/>
    <w:rsid w:val="00FE7EB8"/>
    <w:rsid w:val="00FE7FA0"/>
    <w:rsid w:val="00FF0667"/>
    <w:rsid w:val="00FF0728"/>
    <w:rsid w:val="00FF08D4"/>
    <w:rsid w:val="00FF0EBF"/>
    <w:rsid w:val="00FF115B"/>
    <w:rsid w:val="00FF1441"/>
    <w:rsid w:val="00FF1704"/>
    <w:rsid w:val="00FF18EC"/>
    <w:rsid w:val="00FF1D1C"/>
    <w:rsid w:val="00FF1E99"/>
    <w:rsid w:val="00FF22D1"/>
    <w:rsid w:val="00FF2C32"/>
    <w:rsid w:val="00FF2E1E"/>
    <w:rsid w:val="00FF307D"/>
    <w:rsid w:val="00FF32C3"/>
    <w:rsid w:val="00FF332C"/>
    <w:rsid w:val="00FF38CF"/>
    <w:rsid w:val="00FF3D7C"/>
    <w:rsid w:val="00FF437D"/>
    <w:rsid w:val="00FF451D"/>
    <w:rsid w:val="00FF579A"/>
    <w:rsid w:val="00FF5876"/>
    <w:rsid w:val="00FF5CD1"/>
    <w:rsid w:val="00FF5F6D"/>
    <w:rsid w:val="00FF62C9"/>
    <w:rsid w:val="00FF6918"/>
    <w:rsid w:val="00FF6A01"/>
    <w:rsid w:val="00FF6CED"/>
    <w:rsid w:val="00FF6D1E"/>
    <w:rsid w:val="00FF6FB4"/>
    <w:rsid w:val="00FF72EB"/>
    <w:rsid w:val="00FF746C"/>
    <w:rsid w:val="00FF75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D32"/>
  <w15:chartTrackingRefBased/>
  <w15:docId w15:val="{F4108983-5B19-4D55-B578-A7718D80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3C"/>
  </w:style>
  <w:style w:type="paragraph" w:styleId="Heading2">
    <w:name w:val="heading 2"/>
    <w:basedOn w:val="Normal"/>
    <w:link w:val="Heading2Char"/>
    <w:uiPriority w:val="9"/>
    <w:qFormat/>
    <w:rsid w:val="00326ED2"/>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1B24"/>
    <w:pPr>
      <w:spacing w:before="120" w:after="0" w:line="36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sid w:val="00B21B24"/>
    <w:rPr>
      <w:rFonts w:ascii="Times New Roman" w:hAnsi="Times New Roman"/>
      <w:sz w:val="20"/>
      <w:szCs w:val="20"/>
      <w:lang w:val="en-GB"/>
    </w:rPr>
  </w:style>
  <w:style w:type="character" w:styleId="FootnoteReference">
    <w:name w:val="footnote reference"/>
    <w:basedOn w:val="DefaultParagraphFont"/>
    <w:uiPriority w:val="99"/>
    <w:semiHidden/>
    <w:unhideWhenUsed/>
    <w:rsid w:val="00B21B24"/>
    <w:rPr>
      <w:vertAlign w:val="superscript"/>
    </w:rPr>
  </w:style>
  <w:style w:type="character" w:styleId="Hyperlink">
    <w:name w:val="Hyperlink"/>
    <w:basedOn w:val="DefaultParagraphFont"/>
    <w:uiPriority w:val="99"/>
    <w:unhideWhenUsed/>
    <w:rsid w:val="00B21B24"/>
    <w:rPr>
      <w:color w:val="0563C1" w:themeColor="hyperlink"/>
      <w:u w:val="single"/>
    </w:rPr>
  </w:style>
  <w:style w:type="paragraph" w:styleId="ListParagraph">
    <w:name w:val="List Paragraph"/>
    <w:basedOn w:val="Normal"/>
    <w:uiPriority w:val="34"/>
    <w:qFormat/>
    <w:rsid w:val="004354A2"/>
    <w:pPr>
      <w:ind w:left="720"/>
      <w:contextualSpacing/>
    </w:pPr>
  </w:style>
  <w:style w:type="character" w:styleId="PlaceholderText">
    <w:name w:val="Placeholder Text"/>
    <w:basedOn w:val="DefaultParagraphFont"/>
    <w:uiPriority w:val="99"/>
    <w:semiHidden/>
    <w:rsid w:val="00FD41EE"/>
    <w:rPr>
      <w:color w:val="808080"/>
    </w:rPr>
  </w:style>
  <w:style w:type="paragraph" w:styleId="Header">
    <w:name w:val="header"/>
    <w:basedOn w:val="Normal"/>
    <w:link w:val="HeaderChar"/>
    <w:uiPriority w:val="99"/>
    <w:unhideWhenUsed/>
    <w:rsid w:val="00B9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137"/>
  </w:style>
  <w:style w:type="paragraph" w:styleId="Footer">
    <w:name w:val="footer"/>
    <w:basedOn w:val="Normal"/>
    <w:link w:val="FooterChar"/>
    <w:uiPriority w:val="99"/>
    <w:unhideWhenUsed/>
    <w:rsid w:val="00B9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137"/>
  </w:style>
  <w:style w:type="paragraph" w:styleId="BalloonText">
    <w:name w:val="Balloon Text"/>
    <w:basedOn w:val="Normal"/>
    <w:link w:val="BalloonTextChar"/>
    <w:uiPriority w:val="99"/>
    <w:semiHidden/>
    <w:unhideWhenUsed/>
    <w:rsid w:val="0065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83"/>
    <w:rPr>
      <w:rFonts w:ascii="Segoe UI" w:hAnsi="Segoe UI" w:cs="Segoe UI"/>
      <w:sz w:val="18"/>
      <w:szCs w:val="18"/>
    </w:rPr>
  </w:style>
  <w:style w:type="paragraph" w:customStyle="1" w:styleId="EndNoteBibliography">
    <w:name w:val="EndNote Bibliography"/>
    <w:basedOn w:val="Normal"/>
    <w:link w:val="EndNoteBibliographyChar"/>
    <w:rsid w:val="00457B66"/>
    <w:pPr>
      <w:spacing w:before="120" w:after="120"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57B66"/>
    <w:rPr>
      <w:rFonts w:ascii="Times New Roman" w:hAnsi="Times New Roman" w:cs="Times New Roman"/>
      <w:noProof/>
      <w:sz w:val="24"/>
      <w:lang w:val="en-US"/>
    </w:rPr>
  </w:style>
  <w:style w:type="paragraph" w:styleId="Bibliography">
    <w:name w:val="Bibliography"/>
    <w:basedOn w:val="Normal"/>
    <w:next w:val="Normal"/>
    <w:uiPriority w:val="37"/>
    <w:unhideWhenUsed/>
    <w:rsid w:val="0077539A"/>
    <w:pPr>
      <w:spacing w:before="120" w:after="120" w:line="360" w:lineRule="auto"/>
      <w:jc w:val="both"/>
    </w:pPr>
    <w:rPr>
      <w:rFonts w:ascii="Times New Roman" w:hAnsi="Times New Roman"/>
      <w:sz w:val="24"/>
      <w:lang w:val="en-GB"/>
    </w:rPr>
  </w:style>
  <w:style w:type="character" w:styleId="CommentReference">
    <w:name w:val="annotation reference"/>
    <w:basedOn w:val="DefaultParagraphFont"/>
    <w:uiPriority w:val="99"/>
    <w:semiHidden/>
    <w:unhideWhenUsed/>
    <w:rsid w:val="00CF2786"/>
    <w:rPr>
      <w:sz w:val="16"/>
      <w:szCs w:val="16"/>
    </w:rPr>
  </w:style>
  <w:style w:type="paragraph" w:styleId="CommentText">
    <w:name w:val="annotation text"/>
    <w:basedOn w:val="Normal"/>
    <w:link w:val="CommentTextChar"/>
    <w:uiPriority w:val="99"/>
    <w:unhideWhenUsed/>
    <w:rsid w:val="00CF2786"/>
    <w:pPr>
      <w:spacing w:line="240" w:lineRule="auto"/>
    </w:pPr>
    <w:rPr>
      <w:sz w:val="20"/>
      <w:szCs w:val="20"/>
    </w:rPr>
  </w:style>
  <w:style w:type="character" w:customStyle="1" w:styleId="CommentTextChar">
    <w:name w:val="Comment Text Char"/>
    <w:basedOn w:val="DefaultParagraphFont"/>
    <w:link w:val="CommentText"/>
    <w:uiPriority w:val="99"/>
    <w:rsid w:val="00CF2786"/>
    <w:rPr>
      <w:sz w:val="20"/>
      <w:szCs w:val="20"/>
    </w:rPr>
  </w:style>
  <w:style w:type="paragraph" w:styleId="CommentSubject">
    <w:name w:val="annotation subject"/>
    <w:basedOn w:val="CommentText"/>
    <w:next w:val="CommentText"/>
    <w:link w:val="CommentSubjectChar"/>
    <w:uiPriority w:val="99"/>
    <w:semiHidden/>
    <w:unhideWhenUsed/>
    <w:rsid w:val="00CF2786"/>
    <w:rPr>
      <w:b/>
      <w:bCs/>
    </w:rPr>
  </w:style>
  <w:style w:type="character" w:customStyle="1" w:styleId="CommentSubjectChar">
    <w:name w:val="Comment Subject Char"/>
    <w:basedOn w:val="CommentTextChar"/>
    <w:link w:val="CommentSubject"/>
    <w:uiPriority w:val="99"/>
    <w:semiHidden/>
    <w:rsid w:val="00CF2786"/>
    <w:rPr>
      <w:b/>
      <w:bCs/>
      <w:sz w:val="20"/>
      <w:szCs w:val="20"/>
    </w:rPr>
  </w:style>
  <w:style w:type="character" w:customStyle="1" w:styleId="Heading2Char">
    <w:name w:val="Heading 2 Char"/>
    <w:basedOn w:val="DefaultParagraphFont"/>
    <w:link w:val="Heading2"/>
    <w:uiPriority w:val="9"/>
    <w:rsid w:val="00326ED2"/>
    <w:rPr>
      <w:rFonts w:ascii="Times New Roman" w:eastAsia="Times New Roman" w:hAnsi="Times New Roman" w:cs="Times New Roman"/>
      <w:b/>
      <w:bCs/>
      <w:sz w:val="36"/>
      <w:szCs w:val="36"/>
      <w:lang w:val="en-AU" w:eastAsia="en-AU"/>
    </w:rPr>
  </w:style>
  <w:style w:type="character" w:customStyle="1" w:styleId="UnresolvedMention1">
    <w:name w:val="Unresolved Mention1"/>
    <w:basedOn w:val="DefaultParagraphFont"/>
    <w:uiPriority w:val="99"/>
    <w:semiHidden/>
    <w:unhideWhenUsed/>
    <w:rsid w:val="004345C5"/>
    <w:rPr>
      <w:color w:val="605E5C"/>
      <w:shd w:val="clear" w:color="auto" w:fill="E1DFDD"/>
    </w:rPr>
  </w:style>
  <w:style w:type="paragraph" w:styleId="Revision">
    <w:name w:val="Revision"/>
    <w:hidden/>
    <w:uiPriority w:val="99"/>
    <w:semiHidden/>
    <w:rsid w:val="00B12B59"/>
    <w:pPr>
      <w:spacing w:after="0" w:line="240" w:lineRule="auto"/>
    </w:pPr>
  </w:style>
  <w:style w:type="character" w:styleId="FollowedHyperlink">
    <w:name w:val="FollowedHyperlink"/>
    <w:basedOn w:val="DefaultParagraphFont"/>
    <w:uiPriority w:val="99"/>
    <w:semiHidden/>
    <w:unhideWhenUsed/>
    <w:rsid w:val="00B02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68">
      <w:bodyDiv w:val="1"/>
      <w:marLeft w:val="0"/>
      <w:marRight w:val="0"/>
      <w:marTop w:val="0"/>
      <w:marBottom w:val="0"/>
      <w:divBdr>
        <w:top w:val="none" w:sz="0" w:space="0" w:color="auto"/>
        <w:left w:val="none" w:sz="0" w:space="0" w:color="auto"/>
        <w:bottom w:val="none" w:sz="0" w:space="0" w:color="auto"/>
        <w:right w:val="none" w:sz="0" w:space="0" w:color="auto"/>
      </w:divBdr>
    </w:div>
    <w:div w:id="68038368">
      <w:bodyDiv w:val="1"/>
      <w:marLeft w:val="0"/>
      <w:marRight w:val="0"/>
      <w:marTop w:val="0"/>
      <w:marBottom w:val="0"/>
      <w:divBdr>
        <w:top w:val="none" w:sz="0" w:space="0" w:color="auto"/>
        <w:left w:val="none" w:sz="0" w:space="0" w:color="auto"/>
        <w:bottom w:val="none" w:sz="0" w:space="0" w:color="auto"/>
        <w:right w:val="none" w:sz="0" w:space="0" w:color="auto"/>
      </w:divBdr>
    </w:div>
    <w:div w:id="75172377">
      <w:bodyDiv w:val="1"/>
      <w:marLeft w:val="0"/>
      <w:marRight w:val="0"/>
      <w:marTop w:val="0"/>
      <w:marBottom w:val="0"/>
      <w:divBdr>
        <w:top w:val="none" w:sz="0" w:space="0" w:color="auto"/>
        <w:left w:val="none" w:sz="0" w:space="0" w:color="auto"/>
        <w:bottom w:val="none" w:sz="0" w:space="0" w:color="auto"/>
        <w:right w:val="none" w:sz="0" w:space="0" w:color="auto"/>
      </w:divBdr>
    </w:div>
    <w:div w:id="81025448">
      <w:bodyDiv w:val="1"/>
      <w:marLeft w:val="0"/>
      <w:marRight w:val="0"/>
      <w:marTop w:val="0"/>
      <w:marBottom w:val="0"/>
      <w:divBdr>
        <w:top w:val="none" w:sz="0" w:space="0" w:color="auto"/>
        <w:left w:val="none" w:sz="0" w:space="0" w:color="auto"/>
        <w:bottom w:val="none" w:sz="0" w:space="0" w:color="auto"/>
        <w:right w:val="none" w:sz="0" w:space="0" w:color="auto"/>
      </w:divBdr>
    </w:div>
    <w:div w:id="98453120">
      <w:bodyDiv w:val="1"/>
      <w:marLeft w:val="0"/>
      <w:marRight w:val="0"/>
      <w:marTop w:val="0"/>
      <w:marBottom w:val="0"/>
      <w:divBdr>
        <w:top w:val="none" w:sz="0" w:space="0" w:color="auto"/>
        <w:left w:val="none" w:sz="0" w:space="0" w:color="auto"/>
        <w:bottom w:val="none" w:sz="0" w:space="0" w:color="auto"/>
        <w:right w:val="none" w:sz="0" w:space="0" w:color="auto"/>
      </w:divBdr>
    </w:div>
    <w:div w:id="106122714">
      <w:bodyDiv w:val="1"/>
      <w:marLeft w:val="0"/>
      <w:marRight w:val="0"/>
      <w:marTop w:val="0"/>
      <w:marBottom w:val="0"/>
      <w:divBdr>
        <w:top w:val="none" w:sz="0" w:space="0" w:color="auto"/>
        <w:left w:val="none" w:sz="0" w:space="0" w:color="auto"/>
        <w:bottom w:val="none" w:sz="0" w:space="0" w:color="auto"/>
        <w:right w:val="none" w:sz="0" w:space="0" w:color="auto"/>
      </w:divBdr>
    </w:div>
    <w:div w:id="117992087">
      <w:bodyDiv w:val="1"/>
      <w:marLeft w:val="0"/>
      <w:marRight w:val="0"/>
      <w:marTop w:val="0"/>
      <w:marBottom w:val="0"/>
      <w:divBdr>
        <w:top w:val="none" w:sz="0" w:space="0" w:color="auto"/>
        <w:left w:val="none" w:sz="0" w:space="0" w:color="auto"/>
        <w:bottom w:val="none" w:sz="0" w:space="0" w:color="auto"/>
        <w:right w:val="none" w:sz="0" w:space="0" w:color="auto"/>
      </w:divBdr>
    </w:div>
    <w:div w:id="173611037">
      <w:bodyDiv w:val="1"/>
      <w:marLeft w:val="0"/>
      <w:marRight w:val="0"/>
      <w:marTop w:val="0"/>
      <w:marBottom w:val="0"/>
      <w:divBdr>
        <w:top w:val="none" w:sz="0" w:space="0" w:color="auto"/>
        <w:left w:val="none" w:sz="0" w:space="0" w:color="auto"/>
        <w:bottom w:val="none" w:sz="0" w:space="0" w:color="auto"/>
        <w:right w:val="none" w:sz="0" w:space="0" w:color="auto"/>
      </w:divBdr>
    </w:div>
    <w:div w:id="246769515">
      <w:bodyDiv w:val="1"/>
      <w:marLeft w:val="0"/>
      <w:marRight w:val="0"/>
      <w:marTop w:val="0"/>
      <w:marBottom w:val="0"/>
      <w:divBdr>
        <w:top w:val="none" w:sz="0" w:space="0" w:color="auto"/>
        <w:left w:val="none" w:sz="0" w:space="0" w:color="auto"/>
        <w:bottom w:val="none" w:sz="0" w:space="0" w:color="auto"/>
        <w:right w:val="none" w:sz="0" w:space="0" w:color="auto"/>
      </w:divBdr>
    </w:div>
    <w:div w:id="276913159">
      <w:bodyDiv w:val="1"/>
      <w:marLeft w:val="0"/>
      <w:marRight w:val="0"/>
      <w:marTop w:val="0"/>
      <w:marBottom w:val="0"/>
      <w:divBdr>
        <w:top w:val="none" w:sz="0" w:space="0" w:color="auto"/>
        <w:left w:val="none" w:sz="0" w:space="0" w:color="auto"/>
        <w:bottom w:val="none" w:sz="0" w:space="0" w:color="auto"/>
        <w:right w:val="none" w:sz="0" w:space="0" w:color="auto"/>
      </w:divBdr>
    </w:div>
    <w:div w:id="401761246">
      <w:bodyDiv w:val="1"/>
      <w:marLeft w:val="0"/>
      <w:marRight w:val="0"/>
      <w:marTop w:val="0"/>
      <w:marBottom w:val="0"/>
      <w:divBdr>
        <w:top w:val="none" w:sz="0" w:space="0" w:color="auto"/>
        <w:left w:val="none" w:sz="0" w:space="0" w:color="auto"/>
        <w:bottom w:val="none" w:sz="0" w:space="0" w:color="auto"/>
        <w:right w:val="none" w:sz="0" w:space="0" w:color="auto"/>
      </w:divBdr>
    </w:div>
    <w:div w:id="419527291">
      <w:bodyDiv w:val="1"/>
      <w:marLeft w:val="0"/>
      <w:marRight w:val="0"/>
      <w:marTop w:val="0"/>
      <w:marBottom w:val="0"/>
      <w:divBdr>
        <w:top w:val="none" w:sz="0" w:space="0" w:color="auto"/>
        <w:left w:val="none" w:sz="0" w:space="0" w:color="auto"/>
        <w:bottom w:val="none" w:sz="0" w:space="0" w:color="auto"/>
        <w:right w:val="none" w:sz="0" w:space="0" w:color="auto"/>
      </w:divBdr>
    </w:div>
    <w:div w:id="429467219">
      <w:bodyDiv w:val="1"/>
      <w:marLeft w:val="0"/>
      <w:marRight w:val="0"/>
      <w:marTop w:val="0"/>
      <w:marBottom w:val="0"/>
      <w:divBdr>
        <w:top w:val="none" w:sz="0" w:space="0" w:color="auto"/>
        <w:left w:val="none" w:sz="0" w:space="0" w:color="auto"/>
        <w:bottom w:val="none" w:sz="0" w:space="0" w:color="auto"/>
        <w:right w:val="none" w:sz="0" w:space="0" w:color="auto"/>
      </w:divBdr>
    </w:div>
    <w:div w:id="494034354">
      <w:bodyDiv w:val="1"/>
      <w:marLeft w:val="0"/>
      <w:marRight w:val="0"/>
      <w:marTop w:val="0"/>
      <w:marBottom w:val="0"/>
      <w:divBdr>
        <w:top w:val="none" w:sz="0" w:space="0" w:color="auto"/>
        <w:left w:val="none" w:sz="0" w:space="0" w:color="auto"/>
        <w:bottom w:val="none" w:sz="0" w:space="0" w:color="auto"/>
        <w:right w:val="none" w:sz="0" w:space="0" w:color="auto"/>
      </w:divBdr>
    </w:div>
    <w:div w:id="505440027">
      <w:bodyDiv w:val="1"/>
      <w:marLeft w:val="0"/>
      <w:marRight w:val="0"/>
      <w:marTop w:val="0"/>
      <w:marBottom w:val="0"/>
      <w:divBdr>
        <w:top w:val="none" w:sz="0" w:space="0" w:color="auto"/>
        <w:left w:val="none" w:sz="0" w:space="0" w:color="auto"/>
        <w:bottom w:val="none" w:sz="0" w:space="0" w:color="auto"/>
        <w:right w:val="none" w:sz="0" w:space="0" w:color="auto"/>
      </w:divBdr>
    </w:div>
    <w:div w:id="526800162">
      <w:bodyDiv w:val="1"/>
      <w:marLeft w:val="0"/>
      <w:marRight w:val="0"/>
      <w:marTop w:val="0"/>
      <w:marBottom w:val="0"/>
      <w:divBdr>
        <w:top w:val="none" w:sz="0" w:space="0" w:color="auto"/>
        <w:left w:val="none" w:sz="0" w:space="0" w:color="auto"/>
        <w:bottom w:val="none" w:sz="0" w:space="0" w:color="auto"/>
        <w:right w:val="none" w:sz="0" w:space="0" w:color="auto"/>
      </w:divBdr>
    </w:div>
    <w:div w:id="632101096">
      <w:bodyDiv w:val="1"/>
      <w:marLeft w:val="0"/>
      <w:marRight w:val="0"/>
      <w:marTop w:val="0"/>
      <w:marBottom w:val="0"/>
      <w:divBdr>
        <w:top w:val="none" w:sz="0" w:space="0" w:color="auto"/>
        <w:left w:val="none" w:sz="0" w:space="0" w:color="auto"/>
        <w:bottom w:val="none" w:sz="0" w:space="0" w:color="auto"/>
        <w:right w:val="none" w:sz="0" w:space="0" w:color="auto"/>
      </w:divBdr>
    </w:div>
    <w:div w:id="639727046">
      <w:bodyDiv w:val="1"/>
      <w:marLeft w:val="0"/>
      <w:marRight w:val="0"/>
      <w:marTop w:val="0"/>
      <w:marBottom w:val="0"/>
      <w:divBdr>
        <w:top w:val="none" w:sz="0" w:space="0" w:color="auto"/>
        <w:left w:val="none" w:sz="0" w:space="0" w:color="auto"/>
        <w:bottom w:val="none" w:sz="0" w:space="0" w:color="auto"/>
        <w:right w:val="none" w:sz="0" w:space="0" w:color="auto"/>
      </w:divBdr>
    </w:div>
    <w:div w:id="643895805">
      <w:bodyDiv w:val="1"/>
      <w:marLeft w:val="0"/>
      <w:marRight w:val="0"/>
      <w:marTop w:val="0"/>
      <w:marBottom w:val="0"/>
      <w:divBdr>
        <w:top w:val="none" w:sz="0" w:space="0" w:color="auto"/>
        <w:left w:val="none" w:sz="0" w:space="0" w:color="auto"/>
        <w:bottom w:val="none" w:sz="0" w:space="0" w:color="auto"/>
        <w:right w:val="none" w:sz="0" w:space="0" w:color="auto"/>
      </w:divBdr>
      <w:divsChild>
        <w:div w:id="234556208">
          <w:marLeft w:val="0"/>
          <w:marRight w:val="0"/>
          <w:marTop w:val="0"/>
          <w:marBottom w:val="150"/>
          <w:divBdr>
            <w:top w:val="none" w:sz="0" w:space="0" w:color="auto"/>
            <w:left w:val="none" w:sz="0" w:space="0" w:color="auto"/>
            <w:bottom w:val="none" w:sz="0" w:space="0" w:color="auto"/>
            <w:right w:val="none" w:sz="0" w:space="0" w:color="auto"/>
          </w:divBdr>
        </w:div>
        <w:div w:id="1075863309">
          <w:marLeft w:val="0"/>
          <w:marRight w:val="0"/>
          <w:marTop w:val="0"/>
          <w:marBottom w:val="105"/>
          <w:divBdr>
            <w:top w:val="none" w:sz="0" w:space="0" w:color="auto"/>
            <w:left w:val="none" w:sz="0" w:space="0" w:color="auto"/>
            <w:bottom w:val="none" w:sz="0" w:space="0" w:color="auto"/>
            <w:right w:val="none" w:sz="0" w:space="0" w:color="auto"/>
          </w:divBdr>
          <w:divsChild>
            <w:div w:id="10622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003">
      <w:bodyDiv w:val="1"/>
      <w:marLeft w:val="0"/>
      <w:marRight w:val="0"/>
      <w:marTop w:val="0"/>
      <w:marBottom w:val="0"/>
      <w:divBdr>
        <w:top w:val="none" w:sz="0" w:space="0" w:color="auto"/>
        <w:left w:val="none" w:sz="0" w:space="0" w:color="auto"/>
        <w:bottom w:val="none" w:sz="0" w:space="0" w:color="auto"/>
        <w:right w:val="none" w:sz="0" w:space="0" w:color="auto"/>
      </w:divBdr>
    </w:div>
    <w:div w:id="830483711">
      <w:bodyDiv w:val="1"/>
      <w:marLeft w:val="0"/>
      <w:marRight w:val="0"/>
      <w:marTop w:val="0"/>
      <w:marBottom w:val="0"/>
      <w:divBdr>
        <w:top w:val="none" w:sz="0" w:space="0" w:color="auto"/>
        <w:left w:val="none" w:sz="0" w:space="0" w:color="auto"/>
        <w:bottom w:val="none" w:sz="0" w:space="0" w:color="auto"/>
        <w:right w:val="none" w:sz="0" w:space="0" w:color="auto"/>
      </w:divBdr>
    </w:div>
    <w:div w:id="850025356">
      <w:bodyDiv w:val="1"/>
      <w:marLeft w:val="0"/>
      <w:marRight w:val="0"/>
      <w:marTop w:val="0"/>
      <w:marBottom w:val="0"/>
      <w:divBdr>
        <w:top w:val="none" w:sz="0" w:space="0" w:color="auto"/>
        <w:left w:val="none" w:sz="0" w:space="0" w:color="auto"/>
        <w:bottom w:val="none" w:sz="0" w:space="0" w:color="auto"/>
        <w:right w:val="none" w:sz="0" w:space="0" w:color="auto"/>
      </w:divBdr>
    </w:div>
    <w:div w:id="856233523">
      <w:bodyDiv w:val="1"/>
      <w:marLeft w:val="0"/>
      <w:marRight w:val="0"/>
      <w:marTop w:val="0"/>
      <w:marBottom w:val="0"/>
      <w:divBdr>
        <w:top w:val="none" w:sz="0" w:space="0" w:color="auto"/>
        <w:left w:val="none" w:sz="0" w:space="0" w:color="auto"/>
        <w:bottom w:val="none" w:sz="0" w:space="0" w:color="auto"/>
        <w:right w:val="none" w:sz="0" w:space="0" w:color="auto"/>
      </w:divBdr>
    </w:div>
    <w:div w:id="875964423">
      <w:bodyDiv w:val="1"/>
      <w:marLeft w:val="0"/>
      <w:marRight w:val="0"/>
      <w:marTop w:val="0"/>
      <w:marBottom w:val="0"/>
      <w:divBdr>
        <w:top w:val="none" w:sz="0" w:space="0" w:color="auto"/>
        <w:left w:val="none" w:sz="0" w:space="0" w:color="auto"/>
        <w:bottom w:val="none" w:sz="0" w:space="0" w:color="auto"/>
        <w:right w:val="none" w:sz="0" w:space="0" w:color="auto"/>
      </w:divBdr>
    </w:div>
    <w:div w:id="908274459">
      <w:bodyDiv w:val="1"/>
      <w:marLeft w:val="0"/>
      <w:marRight w:val="0"/>
      <w:marTop w:val="0"/>
      <w:marBottom w:val="0"/>
      <w:divBdr>
        <w:top w:val="none" w:sz="0" w:space="0" w:color="auto"/>
        <w:left w:val="none" w:sz="0" w:space="0" w:color="auto"/>
        <w:bottom w:val="none" w:sz="0" w:space="0" w:color="auto"/>
        <w:right w:val="none" w:sz="0" w:space="0" w:color="auto"/>
      </w:divBdr>
    </w:div>
    <w:div w:id="954826395">
      <w:bodyDiv w:val="1"/>
      <w:marLeft w:val="0"/>
      <w:marRight w:val="0"/>
      <w:marTop w:val="0"/>
      <w:marBottom w:val="0"/>
      <w:divBdr>
        <w:top w:val="none" w:sz="0" w:space="0" w:color="auto"/>
        <w:left w:val="none" w:sz="0" w:space="0" w:color="auto"/>
        <w:bottom w:val="none" w:sz="0" w:space="0" w:color="auto"/>
        <w:right w:val="none" w:sz="0" w:space="0" w:color="auto"/>
      </w:divBdr>
    </w:div>
    <w:div w:id="1028719833">
      <w:bodyDiv w:val="1"/>
      <w:marLeft w:val="0"/>
      <w:marRight w:val="0"/>
      <w:marTop w:val="0"/>
      <w:marBottom w:val="0"/>
      <w:divBdr>
        <w:top w:val="none" w:sz="0" w:space="0" w:color="auto"/>
        <w:left w:val="none" w:sz="0" w:space="0" w:color="auto"/>
        <w:bottom w:val="none" w:sz="0" w:space="0" w:color="auto"/>
        <w:right w:val="none" w:sz="0" w:space="0" w:color="auto"/>
      </w:divBdr>
    </w:div>
    <w:div w:id="1057247331">
      <w:bodyDiv w:val="1"/>
      <w:marLeft w:val="0"/>
      <w:marRight w:val="0"/>
      <w:marTop w:val="0"/>
      <w:marBottom w:val="0"/>
      <w:divBdr>
        <w:top w:val="none" w:sz="0" w:space="0" w:color="auto"/>
        <w:left w:val="none" w:sz="0" w:space="0" w:color="auto"/>
        <w:bottom w:val="none" w:sz="0" w:space="0" w:color="auto"/>
        <w:right w:val="none" w:sz="0" w:space="0" w:color="auto"/>
      </w:divBdr>
    </w:div>
    <w:div w:id="1071778398">
      <w:bodyDiv w:val="1"/>
      <w:marLeft w:val="0"/>
      <w:marRight w:val="0"/>
      <w:marTop w:val="0"/>
      <w:marBottom w:val="0"/>
      <w:divBdr>
        <w:top w:val="none" w:sz="0" w:space="0" w:color="auto"/>
        <w:left w:val="none" w:sz="0" w:space="0" w:color="auto"/>
        <w:bottom w:val="none" w:sz="0" w:space="0" w:color="auto"/>
        <w:right w:val="none" w:sz="0" w:space="0" w:color="auto"/>
      </w:divBdr>
    </w:div>
    <w:div w:id="1087653835">
      <w:bodyDiv w:val="1"/>
      <w:marLeft w:val="0"/>
      <w:marRight w:val="0"/>
      <w:marTop w:val="0"/>
      <w:marBottom w:val="0"/>
      <w:divBdr>
        <w:top w:val="none" w:sz="0" w:space="0" w:color="auto"/>
        <w:left w:val="none" w:sz="0" w:space="0" w:color="auto"/>
        <w:bottom w:val="none" w:sz="0" w:space="0" w:color="auto"/>
        <w:right w:val="none" w:sz="0" w:space="0" w:color="auto"/>
      </w:divBdr>
    </w:div>
    <w:div w:id="1122114195">
      <w:bodyDiv w:val="1"/>
      <w:marLeft w:val="0"/>
      <w:marRight w:val="0"/>
      <w:marTop w:val="0"/>
      <w:marBottom w:val="0"/>
      <w:divBdr>
        <w:top w:val="none" w:sz="0" w:space="0" w:color="auto"/>
        <w:left w:val="none" w:sz="0" w:space="0" w:color="auto"/>
        <w:bottom w:val="none" w:sz="0" w:space="0" w:color="auto"/>
        <w:right w:val="none" w:sz="0" w:space="0" w:color="auto"/>
      </w:divBdr>
    </w:div>
    <w:div w:id="1122650975">
      <w:bodyDiv w:val="1"/>
      <w:marLeft w:val="0"/>
      <w:marRight w:val="0"/>
      <w:marTop w:val="0"/>
      <w:marBottom w:val="0"/>
      <w:divBdr>
        <w:top w:val="none" w:sz="0" w:space="0" w:color="auto"/>
        <w:left w:val="none" w:sz="0" w:space="0" w:color="auto"/>
        <w:bottom w:val="none" w:sz="0" w:space="0" w:color="auto"/>
        <w:right w:val="none" w:sz="0" w:space="0" w:color="auto"/>
      </w:divBdr>
    </w:div>
    <w:div w:id="1165627462">
      <w:bodyDiv w:val="1"/>
      <w:marLeft w:val="0"/>
      <w:marRight w:val="0"/>
      <w:marTop w:val="0"/>
      <w:marBottom w:val="0"/>
      <w:divBdr>
        <w:top w:val="none" w:sz="0" w:space="0" w:color="auto"/>
        <w:left w:val="none" w:sz="0" w:space="0" w:color="auto"/>
        <w:bottom w:val="none" w:sz="0" w:space="0" w:color="auto"/>
        <w:right w:val="none" w:sz="0" w:space="0" w:color="auto"/>
      </w:divBdr>
    </w:div>
    <w:div w:id="1209103642">
      <w:bodyDiv w:val="1"/>
      <w:marLeft w:val="0"/>
      <w:marRight w:val="0"/>
      <w:marTop w:val="0"/>
      <w:marBottom w:val="0"/>
      <w:divBdr>
        <w:top w:val="none" w:sz="0" w:space="0" w:color="auto"/>
        <w:left w:val="none" w:sz="0" w:space="0" w:color="auto"/>
        <w:bottom w:val="none" w:sz="0" w:space="0" w:color="auto"/>
        <w:right w:val="none" w:sz="0" w:space="0" w:color="auto"/>
      </w:divBdr>
    </w:div>
    <w:div w:id="1230921159">
      <w:bodyDiv w:val="1"/>
      <w:marLeft w:val="0"/>
      <w:marRight w:val="0"/>
      <w:marTop w:val="0"/>
      <w:marBottom w:val="0"/>
      <w:divBdr>
        <w:top w:val="none" w:sz="0" w:space="0" w:color="auto"/>
        <w:left w:val="none" w:sz="0" w:space="0" w:color="auto"/>
        <w:bottom w:val="none" w:sz="0" w:space="0" w:color="auto"/>
        <w:right w:val="none" w:sz="0" w:space="0" w:color="auto"/>
      </w:divBdr>
    </w:div>
    <w:div w:id="1260216642">
      <w:bodyDiv w:val="1"/>
      <w:marLeft w:val="0"/>
      <w:marRight w:val="0"/>
      <w:marTop w:val="0"/>
      <w:marBottom w:val="0"/>
      <w:divBdr>
        <w:top w:val="none" w:sz="0" w:space="0" w:color="auto"/>
        <w:left w:val="none" w:sz="0" w:space="0" w:color="auto"/>
        <w:bottom w:val="none" w:sz="0" w:space="0" w:color="auto"/>
        <w:right w:val="none" w:sz="0" w:space="0" w:color="auto"/>
      </w:divBdr>
    </w:div>
    <w:div w:id="1290282098">
      <w:bodyDiv w:val="1"/>
      <w:marLeft w:val="0"/>
      <w:marRight w:val="0"/>
      <w:marTop w:val="0"/>
      <w:marBottom w:val="0"/>
      <w:divBdr>
        <w:top w:val="none" w:sz="0" w:space="0" w:color="auto"/>
        <w:left w:val="none" w:sz="0" w:space="0" w:color="auto"/>
        <w:bottom w:val="none" w:sz="0" w:space="0" w:color="auto"/>
        <w:right w:val="none" w:sz="0" w:space="0" w:color="auto"/>
      </w:divBdr>
    </w:div>
    <w:div w:id="1292636079">
      <w:bodyDiv w:val="1"/>
      <w:marLeft w:val="0"/>
      <w:marRight w:val="0"/>
      <w:marTop w:val="0"/>
      <w:marBottom w:val="0"/>
      <w:divBdr>
        <w:top w:val="none" w:sz="0" w:space="0" w:color="auto"/>
        <w:left w:val="none" w:sz="0" w:space="0" w:color="auto"/>
        <w:bottom w:val="none" w:sz="0" w:space="0" w:color="auto"/>
        <w:right w:val="none" w:sz="0" w:space="0" w:color="auto"/>
      </w:divBdr>
    </w:div>
    <w:div w:id="1328827516">
      <w:bodyDiv w:val="1"/>
      <w:marLeft w:val="0"/>
      <w:marRight w:val="0"/>
      <w:marTop w:val="0"/>
      <w:marBottom w:val="0"/>
      <w:divBdr>
        <w:top w:val="none" w:sz="0" w:space="0" w:color="auto"/>
        <w:left w:val="none" w:sz="0" w:space="0" w:color="auto"/>
        <w:bottom w:val="none" w:sz="0" w:space="0" w:color="auto"/>
        <w:right w:val="none" w:sz="0" w:space="0" w:color="auto"/>
      </w:divBdr>
    </w:div>
    <w:div w:id="1434402726">
      <w:bodyDiv w:val="1"/>
      <w:marLeft w:val="0"/>
      <w:marRight w:val="0"/>
      <w:marTop w:val="0"/>
      <w:marBottom w:val="0"/>
      <w:divBdr>
        <w:top w:val="none" w:sz="0" w:space="0" w:color="auto"/>
        <w:left w:val="none" w:sz="0" w:space="0" w:color="auto"/>
        <w:bottom w:val="none" w:sz="0" w:space="0" w:color="auto"/>
        <w:right w:val="none" w:sz="0" w:space="0" w:color="auto"/>
      </w:divBdr>
    </w:div>
    <w:div w:id="1570848435">
      <w:bodyDiv w:val="1"/>
      <w:marLeft w:val="0"/>
      <w:marRight w:val="0"/>
      <w:marTop w:val="0"/>
      <w:marBottom w:val="0"/>
      <w:divBdr>
        <w:top w:val="none" w:sz="0" w:space="0" w:color="auto"/>
        <w:left w:val="none" w:sz="0" w:space="0" w:color="auto"/>
        <w:bottom w:val="none" w:sz="0" w:space="0" w:color="auto"/>
        <w:right w:val="none" w:sz="0" w:space="0" w:color="auto"/>
      </w:divBdr>
    </w:div>
    <w:div w:id="1600983724">
      <w:bodyDiv w:val="1"/>
      <w:marLeft w:val="0"/>
      <w:marRight w:val="0"/>
      <w:marTop w:val="0"/>
      <w:marBottom w:val="0"/>
      <w:divBdr>
        <w:top w:val="none" w:sz="0" w:space="0" w:color="auto"/>
        <w:left w:val="none" w:sz="0" w:space="0" w:color="auto"/>
        <w:bottom w:val="none" w:sz="0" w:space="0" w:color="auto"/>
        <w:right w:val="none" w:sz="0" w:space="0" w:color="auto"/>
      </w:divBdr>
    </w:div>
    <w:div w:id="1634562258">
      <w:bodyDiv w:val="1"/>
      <w:marLeft w:val="0"/>
      <w:marRight w:val="0"/>
      <w:marTop w:val="0"/>
      <w:marBottom w:val="0"/>
      <w:divBdr>
        <w:top w:val="none" w:sz="0" w:space="0" w:color="auto"/>
        <w:left w:val="none" w:sz="0" w:space="0" w:color="auto"/>
        <w:bottom w:val="none" w:sz="0" w:space="0" w:color="auto"/>
        <w:right w:val="none" w:sz="0" w:space="0" w:color="auto"/>
      </w:divBdr>
    </w:div>
    <w:div w:id="1635016119">
      <w:bodyDiv w:val="1"/>
      <w:marLeft w:val="0"/>
      <w:marRight w:val="0"/>
      <w:marTop w:val="0"/>
      <w:marBottom w:val="0"/>
      <w:divBdr>
        <w:top w:val="none" w:sz="0" w:space="0" w:color="auto"/>
        <w:left w:val="none" w:sz="0" w:space="0" w:color="auto"/>
        <w:bottom w:val="none" w:sz="0" w:space="0" w:color="auto"/>
        <w:right w:val="none" w:sz="0" w:space="0" w:color="auto"/>
      </w:divBdr>
    </w:div>
    <w:div w:id="1669212540">
      <w:bodyDiv w:val="1"/>
      <w:marLeft w:val="0"/>
      <w:marRight w:val="0"/>
      <w:marTop w:val="0"/>
      <w:marBottom w:val="0"/>
      <w:divBdr>
        <w:top w:val="none" w:sz="0" w:space="0" w:color="auto"/>
        <w:left w:val="none" w:sz="0" w:space="0" w:color="auto"/>
        <w:bottom w:val="none" w:sz="0" w:space="0" w:color="auto"/>
        <w:right w:val="none" w:sz="0" w:space="0" w:color="auto"/>
      </w:divBdr>
    </w:div>
    <w:div w:id="1676221586">
      <w:bodyDiv w:val="1"/>
      <w:marLeft w:val="0"/>
      <w:marRight w:val="0"/>
      <w:marTop w:val="0"/>
      <w:marBottom w:val="0"/>
      <w:divBdr>
        <w:top w:val="none" w:sz="0" w:space="0" w:color="auto"/>
        <w:left w:val="none" w:sz="0" w:space="0" w:color="auto"/>
        <w:bottom w:val="none" w:sz="0" w:space="0" w:color="auto"/>
        <w:right w:val="none" w:sz="0" w:space="0" w:color="auto"/>
      </w:divBdr>
    </w:div>
    <w:div w:id="1693412534">
      <w:bodyDiv w:val="1"/>
      <w:marLeft w:val="0"/>
      <w:marRight w:val="0"/>
      <w:marTop w:val="0"/>
      <w:marBottom w:val="0"/>
      <w:divBdr>
        <w:top w:val="none" w:sz="0" w:space="0" w:color="auto"/>
        <w:left w:val="none" w:sz="0" w:space="0" w:color="auto"/>
        <w:bottom w:val="none" w:sz="0" w:space="0" w:color="auto"/>
        <w:right w:val="none" w:sz="0" w:space="0" w:color="auto"/>
      </w:divBdr>
    </w:div>
    <w:div w:id="1736664681">
      <w:bodyDiv w:val="1"/>
      <w:marLeft w:val="0"/>
      <w:marRight w:val="0"/>
      <w:marTop w:val="0"/>
      <w:marBottom w:val="0"/>
      <w:divBdr>
        <w:top w:val="none" w:sz="0" w:space="0" w:color="auto"/>
        <w:left w:val="none" w:sz="0" w:space="0" w:color="auto"/>
        <w:bottom w:val="none" w:sz="0" w:space="0" w:color="auto"/>
        <w:right w:val="none" w:sz="0" w:space="0" w:color="auto"/>
      </w:divBdr>
    </w:div>
    <w:div w:id="1748647165">
      <w:bodyDiv w:val="1"/>
      <w:marLeft w:val="0"/>
      <w:marRight w:val="0"/>
      <w:marTop w:val="0"/>
      <w:marBottom w:val="0"/>
      <w:divBdr>
        <w:top w:val="none" w:sz="0" w:space="0" w:color="auto"/>
        <w:left w:val="none" w:sz="0" w:space="0" w:color="auto"/>
        <w:bottom w:val="none" w:sz="0" w:space="0" w:color="auto"/>
        <w:right w:val="none" w:sz="0" w:space="0" w:color="auto"/>
      </w:divBdr>
    </w:div>
    <w:div w:id="1760830918">
      <w:bodyDiv w:val="1"/>
      <w:marLeft w:val="0"/>
      <w:marRight w:val="0"/>
      <w:marTop w:val="0"/>
      <w:marBottom w:val="0"/>
      <w:divBdr>
        <w:top w:val="none" w:sz="0" w:space="0" w:color="auto"/>
        <w:left w:val="none" w:sz="0" w:space="0" w:color="auto"/>
        <w:bottom w:val="none" w:sz="0" w:space="0" w:color="auto"/>
        <w:right w:val="none" w:sz="0" w:space="0" w:color="auto"/>
      </w:divBdr>
    </w:div>
    <w:div w:id="1833720112">
      <w:bodyDiv w:val="1"/>
      <w:marLeft w:val="0"/>
      <w:marRight w:val="0"/>
      <w:marTop w:val="0"/>
      <w:marBottom w:val="0"/>
      <w:divBdr>
        <w:top w:val="none" w:sz="0" w:space="0" w:color="auto"/>
        <w:left w:val="none" w:sz="0" w:space="0" w:color="auto"/>
        <w:bottom w:val="none" w:sz="0" w:space="0" w:color="auto"/>
        <w:right w:val="none" w:sz="0" w:space="0" w:color="auto"/>
      </w:divBdr>
    </w:div>
    <w:div w:id="1857114175">
      <w:bodyDiv w:val="1"/>
      <w:marLeft w:val="0"/>
      <w:marRight w:val="0"/>
      <w:marTop w:val="0"/>
      <w:marBottom w:val="0"/>
      <w:divBdr>
        <w:top w:val="none" w:sz="0" w:space="0" w:color="auto"/>
        <w:left w:val="none" w:sz="0" w:space="0" w:color="auto"/>
        <w:bottom w:val="none" w:sz="0" w:space="0" w:color="auto"/>
        <w:right w:val="none" w:sz="0" w:space="0" w:color="auto"/>
      </w:divBdr>
    </w:div>
    <w:div w:id="1891114354">
      <w:bodyDiv w:val="1"/>
      <w:marLeft w:val="0"/>
      <w:marRight w:val="0"/>
      <w:marTop w:val="0"/>
      <w:marBottom w:val="0"/>
      <w:divBdr>
        <w:top w:val="none" w:sz="0" w:space="0" w:color="auto"/>
        <w:left w:val="none" w:sz="0" w:space="0" w:color="auto"/>
        <w:bottom w:val="none" w:sz="0" w:space="0" w:color="auto"/>
        <w:right w:val="none" w:sz="0" w:space="0" w:color="auto"/>
      </w:divBdr>
    </w:div>
    <w:div w:id="1896694675">
      <w:bodyDiv w:val="1"/>
      <w:marLeft w:val="0"/>
      <w:marRight w:val="0"/>
      <w:marTop w:val="0"/>
      <w:marBottom w:val="0"/>
      <w:divBdr>
        <w:top w:val="none" w:sz="0" w:space="0" w:color="auto"/>
        <w:left w:val="none" w:sz="0" w:space="0" w:color="auto"/>
        <w:bottom w:val="none" w:sz="0" w:space="0" w:color="auto"/>
        <w:right w:val="none" w:sz="0" w:space="0" w:color="auto"/>
      </w:divBdr>
    </w:div>
    <w:div w:id="2000763935">
      <w:bodyDiv w:val="1"/>
      <w:marLeft w:val="0"/>
      <w:marRight w:val="0"/>
      <w:marTop w:val="0"/>
      <w:marBottom w:val="0"/>
      <w:divBdr>
        <w:top w:val="none" w:sz="0" w:space="0" w:color="auto"/>
        <w:left w:val="none" w:sz="0" w:space="0" w:color="auto"/>
        <w:bottom w:val="none" w:sz="0" w:space="0" w:color="auto"/>
        <w:right w:val="none" w:sz="0" w:space="0" w:color="auto"/>
      </w:divBdr>
    </w:div>
    <w:div w:id="2035037114">
      <w:bodyDiv w:val="1"/>
      <w:marLeft w:val="0"/>
      <w:marRight w:val="0"/>
      <w:marTop w:val="0"/>
      <w:marBottom w:val="0"/>
      <w:divBdr>
        <w:top w:val="none" w:sz="0" w:space="0" w:color="auto"/>
        <w:left w:val="none" w:sz="0" w:space="0" w:color="auto"/>
        <w:bottom w:val="none" w:sz="0" w:space="0" w:color="auto"/>
        <w:right w:val="none" w:sz="0" w:space="0" w:color="auto"/>
      </w:divBdr>
    </w:div>
    <w:div w:id="2087651320">
      <w:bodyDiv w:val="1"/>
      <w:marLeft w:val="0"/>
      <w:marRight w:val="0"/>
      <w:marTop w:val="0"/>
      <w:marBottom w:val="0"/>
      <w:divBdr>
        <w:top w:val="none" w:sz="0" w:space="0" w:color="auto"/>
        <w:left w:val="none" w:sz="0" w:space="0" w:color="auto"/>
        <w:bottom w:val="none" w:sz="0" w:space="0" w:color="auto"/>
        <w:right w:val="none" w:sz="0" w:space="0" w:color="auto"/>
      </w:divBdr>
    </w:div>
    <w:div w:id="21103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bank.worldbank.org/source/worldwide-governance-indica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FC04889015349B9E1E353DB63B790" ma:contentTypeVersion="13" ma:contentTypeDescription="Create a new document." ma:contentTypeScope="" ma:versionID="2ae9d662df2401c01b8ab7ad10e63be3">
  <xsd:schema xmlns:xsd="http://www.w3.org/2001/XMLSchema" xmlns:xs="http://www.w3.org/2001/XMLSchema" xmlns:p="http://schemas.microsoft.com/office/2006/metadata/properties" xmlns:ns3="5ead2834-8dd6-4251-b623-bac9f392ce84" xmlns:ns4="c743eaa1-a6e2-42ff-99d4-f3cf8bbbc970" targetNamespace="http://schemas.microsoft.com/office/2006/metadata/properties" ma:root="true" ma:fieldsID="bc3c90abd3e00e2e9866ddc5b51e9a74" ns3:_="" ns4:_="">
    <xsd:import namespace="5ead2834-8dd6-4251-b623-bac9f392ce84"/>
    <xsd:import namespace="c743eaa1-a6e2-42ff-99d4-f3cf8bbbc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d2834-8dd6-4251-b623-bac9f392c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3eaa1-a6e2-42ff-99d4-f3cf8bbbc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96406-6EEC-47FC-B260-3F51AE54E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2FF6E-6068-4584-B9A1-9EA12328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d2834-8dd6-4251-b623-bac9f392ce84"/>
    <ds:schemaRef ds:uri="c743eaa1-a6e2-42ff-99d4-f3cf8bbbc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B49BA-A974-412B-A8E5-7FB5D227C9A1}">
  <ds:schemaRefs>
    <ds:schemaRef ds:uri="http://schemas.openxmlformats.org/officeDocument/2006/bibliography"/>
  </ds:schemaRefs>
</ds:datastoreItem>
</file>

<file path=customXml/itemProps4.xml><?xml version="1.0" encoding="utf-8"?>
<ds:datastoreItem xmlns:ds="http://schemas.openxmlformats.org/officeDocument/2006/customXml" ds:itemID="{0B2B6250-0D96-4CB1-BD23-A4C6E5B7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10392</Words>
  <Characters>59237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Opare, Solomon</dc:creator>
  <cp:keywords/>
  <dc:description/>
  <cp:lastModifiedBy>Solomon Opare</cp:lastModifiedBy>
  <cp:revision>43</cp:revision>
  <cp:lastPrinted>2020-05-01T05:20:00Z</cp:lastPrinted>
  <dcterms:created xsi:type="dcterms:W3CDTF">2022-08-01T09:26:00Z</dcterms:created>
  <dcterms:modified xsi:type="dcterms:W3CDTF">2022-10-12T01:40:00Z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0x010100E23FC04889015349B9E1E353DB63B790</vt:lpwstr>
  </property>
  <property fmtid="{D5CDD505-2E9C-101B-9397-08002B2CF9AE}" pid="3" name="MSIP_Label_bd9e4d68-54d0-40a5-8c9a-85a36c87352c_Enabled">
    <vt:lpwstr>true</vt:lpwstr>
  </property>
  <property fmtid="{D5CDD505-2E9C-101B-9397-08002B2CF9AE}" pid="4" name="MSIP_Label_bd9e4d68-54d0-40a5-8c9a-85a36c87352c_SetDate">
    <vt:lpwstr>2021-11-22T22:54:05Z</vt:lpwstr>
  </property>
  <property fmtid="{D5CDD505-2E9C-101B-9397-08002B2CF9AE}" pid="5" name="MSIP_Label_bd9e4d68-54d0-40a5-8c9a-85a36c87352c_Method">
    <vt:lpwstr>Privileged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5be2dc1c-2978-4f9d-ab73-e2e3b4a27a5d</vt:lpwstr>
  </property>
  <property fmtid="{D5CDD505-2E9C-101B-9397-08002B2CF9AE}" pid="9" name="MSIP_Label_bd9e4d68-54d0-40a5-8c9a-85a36c87352c_ContentBits">
    <vt:lpwstr>0</vt:lpwstr>
  </property>
</Properties>
</file>